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937"/>
        <w:gridCol w:w="5178"/>
        <w:gridCol w:w="171"/>
        <w:gridCol w:w="96"/>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EA58971" w:rsidR="00E53255" w:rsidRDefault="00E53255" w:rsidP="00093CA9">
            <w:r>
              <w:t>BTS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6A4E943" w:rsidR="00093CA9" w:rsidRDefault="004A625B" w:rsidP="00093CA9">
            <w:r>
              <w:t>Türkiye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A5F92B2" w:rsidR="00093CA9" w:rsidRDefault="00AC14A5" w:rsidP="00093CA9">
            <w:r w:rsidRPr="00AC14A5">
              <w:t>BRSA Guidelines on Credit Granting and Monitoring (BDDK Kredi Tahsis ve İzleme Süreçlerine İlişkin Rehber)</w:t>
            </w:r>
            <w:r w:rsidR="00AF720F">
              <w:t xml:space="preserve"> (“</w:t>
            </w:r>
            <w:r w:rsidR="00AF720F" w:rsidRPr="00AF720F">
              <w:rPr>
                <w:b/>
                <w:bCs/>
              </w:rPr>
              <w:t>Guideline</w:t>
            </w:r>
            <w:r w:rsidR="00AF720F">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F46458C" w14:textId="5A18F806" w:rsidR="00E04A72" w:rsidRDefault="00E04A72" w:rsidP="00DC546B">
            <w:pPr>
              <w:jc w:val="both"/>
            </w:pPr>
            <w:hyperlink r:id="rId18" w:history="1">
              <w:r w:rsidRPr="006C7063">
                <w:rPr>
                  <w:rStyle w:val="Kpr"/>
                </w:rPr>
                <w:t>https://web.archive.org/web/20250609190218/https://www.bddk.org.tr/Mevzuat/DokumanGetir/1041</w:t>
              </w:r>
            </w:hyperlink>
            <w:r>
              <w:t xml:space="preserve">  </w:t>
            </w:r>
          </w:p>
          <w:p w14:paraId="1523C232" w14:textId="7BE866B2" w:rsidR="00DC546B" w:rsidRDefault="00DC546B" w:rsidP="00DC546B">
            <w:pPr>
              <w:jc w:val="both"/>
            </w:pPr>
            <w:hyperlink r:id="rId19" w:history="1">
              <w:r w:rsidRPr="00095005">
                <w:rPr>
                  <w:rStyle w:val="Kpr"/>
                </w:rPr>
                <w:t>https://web.archive.org/web/20250602231931/http://mevzuat.gov.tr/MevzuatMetin/1.5.5411.pdf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44403B" w:rsidR="00093CA9" w:rsidRDefault="00AC14A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7322E84" w:rsidR="00093CA9" w:rsidRDefault="00AF3C15" w:rsidP="00AF3C15">
            <w:pPr>
              <w:jc w:val="both"/>
            </w:pPr>
            <w:r w:rsidRPr="00AF3C15">
              <w:t>The Guideline is applied to banks’ internal governance frameworks and procedures related to credit allocation processes. Furthermore, it regulates credit allocation and the monitoring of performing loans, while aiming to integrate environmental and climate-related risks into risk management policies and systems. Accordingly, it seeks to minimize potential risks during financial transition periods and enhance the resilience of the banking sector.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AD747C9" w:rsidR="00093CA9" w:rsidRDefault="0084667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9EFD868" w:rsidR="00093CA9" w:rsidRPr="00173D7C" w:rsidRDefault="00DC0665"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6F46986" w:rsidR="00093CA9" w:rsidRPr="00173D7C" w:rsidRDefault="00DC0665"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3BC7EBB" w:rsidR="00093CA9" w:rsidRDefault="001F6165" w:rsidP="004A625B">
            <w:pPr>
              <w:jc w:val="both"/>
            </w:pPr>
            <w:r>
              <w:t>I</w:t>
            </w:r>
            <w:r w:rsidR="004A625B" w:rsidRPr="004A625B">
              <w:t xml:space="preserve">ndependent regulatory and supervisory </w:t>
            </w:r>
            <w:r>
              <w:t>body</w:t>
            </w:r>
            <w:r w:rsidR="004A625B" w:rsidRPr="004A625B">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062F130" w:rsidR="00093CA9" w:rsidRPr="006B7B0D" w:rsidRDefault="00F85F13" w:rsidP="00093CA9">
            <w:r w:rsidRPr="00F85F13">
              <w:t>Banking Regulation and Supervision Agency of Türkiye</w:t>
            </w:r>
            <w:r w:rsidR="001F6165">
              <w:t xml:space="preserve"> </w:t>
            </w:r>
            <w:r w:rsidR="00710ADE">
              <w:t>(“</w:t>
            </w:r>
            <w:r w:rsidR="00710ADE" w:rsidRPr="00710ADE">
              <w:rPr>
                <w:b/>
                <w:bCs/>
              </w:rPr>
              <w:t>BRSA</w:t>
            </w:r>
            <w:r w:rsidR="00710ADE">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17F0D69" w:rsidR="00093CA9" w:rsidRPr="006B7B0D" w:rsidRDefault="00050B0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66961D69"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FB8A135" w:rsidR="001E6B7C" w:rsidRDefault="00573CC9" w:rsidP="00CB1D22">
            <w:pPr>
              <w:jc w:val="both"/>
            </w:pPr>
            <w:r w:rsidRPr="00573CC9">
              <w:t>BRSA is recognized as the sole authority responsible for credit allocation and monitoring within the financial sector. BRSA possesses a high level of institutional capacity, supported by well-established regulatory frameworks, experienced personnel, and advanced data management systems. These resources enable the agency to effectively undertake comprehensive credit assessment and oversight, ensuring compliance with both national and international standards. Consequently, BRSA is well-equipped to manage and adapt credit-related processes in alignment with evolving environmental and regulatory requirements.</w:t>
            </w:r>
            <w:r>
              <w:t xml:space="preserve"> </w:t>
            </w:r>
            <w:r w:rsidRPr="00573CC9">
              <w:t>Therefore, the capacity to implement the Communiqué has been assessed as “High”.</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DF8E34A" w:rsidR="00093CA9" w:rsidRDefault="00701E79" w:rsidP="00093CA9">
            <w:r>
              <w:t>X</w:t>
            </w:r>
          </w:p>
        </w:tc>
      </w:tr>
      <w:tr w:rsidR="00093CA9" w14:paraId="0763562F" w14:textId="77777777" w:rsidTr="009D0A0C">
        <w:trPr>
          <w:trHeight w:val="1267"/>
        </w:trPr>
        <w:tc>
          <w:tcPr>
            <w:tcW w:w="1063" w:type="dxa"/>
            <w:shd w:val="clear" w:color="auto" w:fill="auto"/>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vAlign w:val="center"/>
          </w:tcPr>
          <w:p w14:paraId="3AD13822" w14:textId="4E9275D6" w:rsidR="00093CA9" w:rsidRDefault="00093CA9" w:rsidP="00093CA9">
            <w:pPr>
              <w:keepNext/>
            </w:pPr>
            <w:r w:rsidRPr="008017F9">
              <w:rPr>
                <w:color w:val="000000" w:themeColor="text1"/>
              </w:rPr>
              <w:t xml:space="preserve">If </w:t>
            </w:r>
            <w:r w:rsidRPr="009D0A0C">
              <w:rPr>
                <w:color w:val="000000" w:themeColor="text1"/>
                <w:shd w:val="clear" w:color="auto" w:fill="DEEAF6"/>
              </w:rPr>
              <w:t xml:space="preserve">yes, describe the monitoring systems in place, </w:t>
            </w:r>
            <w:r w:rsidRPr="009D0A0C">
              <w:rPr>
                <w:shd w:val="clear" w:color="auto" w:fill="DEEAF6"/>
              </w:rPr>
              <w:t xml:space="preserve">referencing the relevant section/ subsection/ paragraph of the </w:t>
            </w:r>
            <w:r w:rsidRPr="009D0A0C">
              <w:rPr>
                <w:rFonts w:eastAsia="Times New Roman" w:cstheme="minorHAnsi"/>
                <w:b/>
                <w:color w:val="7030A0"/>
                <w:kern w:val="0"/>
                <w:shd w:val="clear" w:color="auto" w:fill="DEEAF6"/>
                <w:lang w:val="en-SG" w:eastAsia="en-GB"/>
                <w14:ligatures w14:val="none"/>
              </w:rPr>
              <w:t>policy tool</w:t>
            </w:r>
            <w:r w:rsidRPr="009D0A0C">
              <w:rPr>
                <w:shd w:val="clear" w:color="auto" w:fill="DEEAF6"/>
              </w:rPr>
              <w:t>.</w:t>
            </w:r>
          </w:p>
        </w:tc>
      </w:tr>
      <w:tr w:rsidR="00093CA9" w:rsidRPr="008017F9" w14:paraId="0F291701" w14:textId="77777777" w:rsidTr="00616F5B">
        <w:trPr>
          <w:trHeight w:val="782"/>
        </w:trPr>
        <w:tc>
          <w:tcPr>
            <w:tcW w:w="1063" w:type="dxa"/>
            <w:shd w:val="clear" w:color="auto" w:fill="auto"/>
            <w:vAlign w:val="center"/>
          </w:tcPr>
          <w:p w14:paraId="08EDF6C9" w14:textId="77777777" w:rsidR="00093CA9" w:rsidRDefault="00093CA9" w:rsidP="00093CA9"/>
        </w:tc>
        <w:tc>
          <w:tcPr>
            <w:tcW w:w="9169" w:type="dxa"/>
            <w:gridSpan w:val="4"/>
            <w:shd w:val="clear" w:color="auto" w:fill="auto"/>
            <w:vAlign w:val="center"/>
          </w:tcPr>
          <w:p w14:paraId="2C2128DB" w14:textId="435AAA52" w:rsidR="00093CA9" w:rsidRPr="008017F9" w:rsidRDefault="00D52186" w:rsidP="00D52186">
            <w:pPr>
              <w:keepNext/>
              <w:jc w:val="both"/>
              <w:rPr>
                <w:color w:val="000000" w:themeColor="text1"/>
              </w:rPr>
            </w:pPr>
            <w:r w:rsidRPr="00D52186">
              <w:rPr>
                <w:color w:val="000000" w:themeColor="text1"/>
              </w:rPr>
              <w:t>The monitoring and enforcement of obligations set forth in the policy tool are primarily conducted through the regulatory oversight mechanisms exercised by the BRSA, in accordance with the authorities granted as per Article 93 and 95 of the Banking Law No. 5411 ("</w:t>
            </w:r>
            <w:r w:rsidRPr="00D52186">
              <w:rPr>
                <w:b/>
                <w:bCs/>
                <w:color w:val="000000" w:themeColor="text1"/>
              </w:rPr>
              <w:t>Law</w:t>
            </w:r>
            <w:r w:rsidRPr="00D52186">
              <w:rPr>
                <w:color w:val="000000" w:themeColor="text1"/>
              </w:rPr>
              <w:t>"). Although the policy tool itself does not mandate specific reporting</w:t>
            </w:r>
            <w:r w:rsidR="008F182E">
              <w:rPr>
                <w:color w:val="000000" w:themeColor="text1"/>
              </w:rPr>
              <w:t>, open data</w:t>
            </w:r>
            <w:r w:rsidRPr="00D52186">
              <w:rPr>
                <w:color w:val="000000" w:themeColor="text1"/>
              </w:rPr>
              <w:t xml:space="preserve"> or third-party verification systems, Article 95 explicitly empowers the BRSA to perform on-site and off-site inspections of banks and other regulated entities. This includes comprehensive reviews of their risk structures, internal controls, governance compliance, and financial positions, ensuring alignment with prudential policies. The BRSA’s supervisory activities incorporate the assessment of banks’ internal policies and procedures regarding environmental and social risks, thereby indirectly ensuring adherence to climate-related risk management requirements.</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5499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5499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5499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5499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B3A18"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B3A18"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B3A18"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3B3A18"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3B3A18"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B3A18"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B3A18"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B3A18"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B3A18"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B3A18"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B3A18"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B3A18"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B3A18"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3B3A18"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B3A18"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3B3A18"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3B3A18"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3B3A18"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B3A18"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B3A18"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B3A18"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3B3A18"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B3A18"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B3A18"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36DDA71">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36DDA71">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36DDA71">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BA56CA9" w:rsidR="00D4323A" w:rsidRPr="00CF2E7C" w:rsidRDefault="009C6594" w:rsidP="00CF2E7C">
            <w:pPr>
              <w:rPr>
                <w:rFonts w:ascii="Calibri" w:hAnsi="Calibri" w:cs="Calibri"/>
              </w:rPr>
            </w:pPr>
            <w:r>
              <w:rPr>
                <w:rFonts w:ascii="Calibri" w:hAnsi="Calibri" w:cs="Calibri"/>
              </w:rPr>
              <w:t>X</w:t>
            </w:r>
          </w:p>
        </w:tc>
      </w:tr>
      <w:tr w:rsidR="00D4323A" w:rsidRPr="009C4D10" w14:paraId="2E8BFB98" w14:textId="77777777" w:rsidTr="036DDA71">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4467B97" w:rsidR="00D4323A" w:rsidRPr="00CF2E7C" w:rsidRDefault="009C6594" w:rsidP="00CF2E7C">
            <w:pPr>
              <w:rPr>
                <w:rFonts w:ascii="Calibri" w:hAnsi="Calibri" w:cs="Calibri"/>
              </w:rPr>
            </w:pPr>
            <w:r>
              <w:rPr>
                <w:rFonts w:ascii="Calibri" w:hAnsi="Calibri" w:cs="Calibri"/>
              </w:rPr>
              <w:t>X</w:t>
            </w:r>
          </w:p>
        </w:tc>
      </w:tr>
      <w:tr w:rsidR="00D4323A" w:rsidRPr="009C4D10" w14:paraId="43F20BEC" w14:textId="77777777" w:rsidTr="036DDA71">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4954F770" w:rsidR="00D4323A" w:rsidRPr="00CF2E7C" w:rsidRDefault="009C659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36DDA71">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5F5D045" w:rsidR="00D4323A" w:rsidRPr="00CF2E7C" w:rsidRDefault="009C6594" w:rsidP="00CF2E7C">
            <w:pPr>
              <w:rPr>
                <w:rFonts w:ascii="Calibri" w:hAnsi="Calibri" w:cs="Calibri"/>
              </w:rPr>
            </w:pPr>
            <w:r>
              <w:rPr>
                <w:rFonts w:ascii="Calibri" w:hAnsi="Calibri" w:cs="Calibri"/>
              </w:rPr>
              <w:t>X</w:t>
            </w:r>
          </w:p>
        </w:tc>
      </w:tr>
      <w:tr w:rsidR="00D4323A" w:rsidRPr="009C4D10" w14:paraId="7E6D8DB7" w14:textId="77777777" w:rsidTr="036DDA71">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A720243" w:rsidR="00D4323A" w:rsidRPr="00CF2E7C" w:rsidRDefault="00096613" w:rsidP="00CF2E7C">
            <w:pPr>
              <w:rPr>
                <w:rFonts w:ascii="Calibri" w:hAnsi="Calibri" w:cs="Calibri"/>
              </w:rPr>
            </w:pPr>
            <w:r>
              <w:rPr>
                <w:rFonts w:ascii="Calibri" w:hAnsi="Calibri" w:cs="Calibri"/>
              </w:rPr>
              <w:t>X</w:t>
            </w:r>
          </w:p>
        </w:tc>
      </w:tr>
      <w:tr w:rsidR="00D4323A" w:rsidRPr="009C4D10" w14:paraId="79ED0E10" w14:textId="77777777" w:rsidTr="036DDA71">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4EE063C" w:rsidR="00D4323A" w:rsidRPr="00CF2E7C" w:rsidRDefault="00096613" w:rsidP="00CF2E7C">
            <w:pPr>
              <w:rPr>
                <w:rFonts w:ascii="Calibri" w:hAnsi="Calibri" w:cs="Calibri"/>
              </w:rPr>
            </w:pPr>
            <w:r>
              <w:rPr>
                <w:rFonts w:ascii="Calibri" w:hAnsi="Calibri" w:cs="Calibri"/>
              </w:rPr>
              <w:t>X</w:t>
            </w:r>
          </w:p>
        </w:tc>
      </w:tr>
      <w:tr w:rsidR="00096613" w:rsidRPr="009C4D10" w14:paraId="6E1F1A41" w14:textId="77777777" w:rsidTr="036DDA71">
        <w:trPr>
          <w:trHeight w:val="24"/>
        </w:trPr>
        <w:tc>
          <w:tcPr>
            <w:tcW w:w="1065" w:type="dxa"/>
            <w:vAlign w:val="center"/>
          </w:tcPr>
          <w:p w14:paraId="16418396" w14:textId="4F23F845" w:rsidR="00096613" w:rsidRPr="00CF2E7C" w:rsidRDefault="00096613" w:rsidP="00096613">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096613" w:rsidRPr="00CF2E7C" w:rsidRDefault="00096613" w:rsidP="00096613">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096613" w:rsidRPr="00CF2E7C" w:rsidRDefault="00096613" w:rsidP="00096613">
            <w:pPr>
              <w:rPr>
                <w:rFonts w:ascii="Calibri" w:hAnsi="Calibri" w:cs="Calibri"/>
              </w:rPr>
            </w:pPr>
          </w:p>
        </w:tc>
        <w:tc>
          <w:tcPr>
            <w:tcW w:w="1455" w:type="dxa"/>
            <w:gridSpan w:val="2"/>
            <w:vAlign w:val="center"/>
          </w:tcPr>
          <w:p w14:paraId="22BF6C29" w14:textId="77777777" w:rsidR="00096613" w:rsidRPr="00CF2E7C" w:rsidRDefault="00096613" w:rsidP="00096613">
            <w:pPr>
              <w:rPr>
                <w:rFonts w:ascii="Calibri" w:hAnsi="Calibri" w:cs="Calibri"/>
              </w:rPr>
            </w:pPr>
          </w:p>
        </w:tc>
        <w:tc>
          <w:tcPr>
            <w:tcW w:w="1505" w:type="dxa"/>
          </w:tcPr>
          <w:p w14:paraId="24A5223C" w14:textId="0E44E2A1" w:rsidR="00096613" w:rsidRPr="00CF2E7C" w:rsidRDefault="00096613" w:rsidP="00096613">
            <w:pPr>
              <w:rPr>
                <w:rFonts w:ascii="Calibri" w:hAnsi="Calibri" w:cs="Calibri"/>
              </w:rPr>
            </w:pPr>
            <w:r w:rsidRPr="004852DE">
              <w:rPr>
                <w:rFonts w:ascii="Calibri" w:hAnsi="Calibri" w:cs="Calibri"/>
              </w:rPr>
              <w:t>X</w:t>
            </w:r>
          </w:p>
        </w:tc>
      </w:tr>
      <w:tr w:rsidR="00096613" w:rsidRPr="009C4D10" w14:paraId="719820F8" w14:textId="77777777" w:rsidTr="036DDA71">
        <w:trPr>
          <w:trHeight w:val="300"/>
        </w:trPr>
        <w:tc>
          <w:tcPr>
            <w:tcW w:w="1065" w:type="dxa"/>
            <w:vAlign w:val="center"/>
          </w:tcPr>
          <w:p w14:paraId="3A3F343D" w14:textId="5FF435E2" w:rsidR="00096613" w:rsidRPr="00CF2E7C" w:rsidRDefault="00096613" w:rsidP="00096613">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096613" w:rsidRPr="00CF2E7C" w:rsidRDefault="00096613" w:rsidP="00096613">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096613" w:rsidRPr="00CF2E7C" w:rsidRDefault="00096613" w:rsidP="00096613">
            <w:pPr>
              <w:rPr>
                <w:rFonts w:ascii="Calibri" w:hAnsi="Calibri" w:cs="Calibri"/>
              </w:rPr>
            </w:pPr>
          </w:p>
        </w:tc>
        <w:tc>
          <w:tcPr>
            <w:tcW w:w="1455" w:type="dxa"/>
            <w:gridSpan w:val="2"/>
            <w:vAlign w:val="center"/>
          </w:tcPr>
          <w:p w14:paraId="4E9DEEA5" w14:textId="77777777" w:rsidR="00096613" w:rsidRPr="00CF2E7C" w:rsidRDefault="00096613" w:rsidP="00096613">
            <w:pPr>
              <w:rPr>
                <w:rFonts w:ascii="Calibri" w:hAnsi="Calibri" w:cs="Calibri"/>
              </w:rPr>
            </w:pPr>
          </w:p>
        </w:tc>
        <w:tc>
          <w:tcPr>
            <w:tcW w:w="1505" w:type="dxa"/>
          </w:tcPr>
          <w:p w14:paraId="1BD9121A" w14:textId="03B6F0E4" w:rsidR="00096613" w:rsidRPr="00CF2E7C" w:rsidRDefault="00096613" w:rsidP="00096613">
            <w:pPr>
              <w:rPr>
                <w:rFonts w:ascii="Calibri" w:hAnsi="Calibri" w:cs="Calibri"/>
              </w:rPr>
            </w:pPr>
            <w:r w:rsidRPr="004852DE">
              <w:rPr>
                <w:rFonts w:ascii="Calibri" w:hAnsi="Calibri" w:cs="Calibri"/>
              </w:rPr>
              <w:t>X</w:t>
            </w:r>
          </w:p>
        </w:tc>
      </w:tr>
      <w:tr w:rsidR="00096613" w:rsidRPr="009C4D10" w14:paraId="17DAFD7B" w14:textId="77777777" w:rsidTr="036DDA71">
        <w:trPr>
          <w:trHeight w:val="300"/>
        </w:trPr>
        <w:tc>
          <w:tcPr>
            <w:tcW w:w="1065" w:type="dxa"/>
            <w:vAlign w:val="center"/>
          </w:tcPr>
          <w:p w14:paraId="7435CCC4" w14:textId="7751F044" w:rsidR="00096613" w:rsidRPr="00CF2E7C" w:rsidRDefault="00096613" w:rsidP="00096613">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096613" w:rsidRPr="00CF2E7C" w:rsidRDefault="00096613" w:rsidP="00096613">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096613" w:rsidRPr="00CF2E7C" w:rsidRDefault="00096613" w:rsidP="00096613">
            <w:pPr>
              <w:rPr>
                <w:rFonts w:ascii="Calibri" w:hAnsi="Calibri" w:cs="Calibri"/>
              </w:rPr>
            </w:pPr>
          </w:p>
        </w:tc>
        <w:tc>
          <w:tcPr>
            <w:tcW w:w="1455" w:type="dxa"/>
            <w:gridSpan w:val="2"/>
            <w:vAlign w:val="center"/>
          </w:tcPr>
          <w:p w14:paraId="5AC2C5A5" w14:textId="77777777" w:rsidR="00096613" w:rsidRPr="00CF2E7C" w:rsidRDefault="00096613" w:rsidP="00096613">
            <w:pPr>
              <w:rPr>
                <w:rFonts w:ascii="Calibri" w:hAnsi="Calibri" w:cs="Calibri"/>
              </w:rPr>
            </w:pPr>
          </w:p>
        </w:tc>
        <w:tc>
          <w:tcPr>
            <w:tcW w:w="1505" w:type="dxa"/>
          </w:tcPr>
          <w:p w14:paraId="7D2537CF" w14:textId="1C44095C" w:rsidR="00096613" w:rsidRPr="00CF2E7C" w:rsidRDefault="00096613" w:rsidP="00096613">
            <w:pPr>
              <w:rPr>
                <w:rFonts w:ascii="Calibri" w:hAnsi="Calibri" w:cs="Calibri"/>
              </w:rPr>
            </w:pPr>
            <w:r w:rsidRPr="004852DE">
              <w:rPr>
                <w:rFonts w:ascii="Calibri" w:hAnsi="Calibri" w:cs="Calibri"/>
              </w:rPr>
              <w:t>X</w:t>
            </w:r>
          </w:p>
        </w:tc>
      </w:tr>
      <w:tr w:rsidR="00096613" w:rsidRPr="009C4D10" w14:paraId="79E37C47" w14:textId="77777777" w:rsidTr="036DDA71">
        <w:trPr>
          <w:trHeight w:val="300"/>
        </w:trPr>
        <w:tc>
          <w:tcPr>
            <w:tcW w:w="1065" w:type="dxa"/>
            <w:vAlign w:val="center"/>
          </w:tcPr>
          <w:p w14:paraId="473B2622" w14:textId="38397B39" w:rsidR="00096613" w:rsidRPr="00CF2E7C" w:rsidRDefault="00096613" w:rsidP="00096613">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096613" w:rsidRPr="00CF2E7C" w:rsidRDefault="00096613" w:rsidP="00096613">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096613" w:rsidRPr="00CF2E7C" w:rsidRDefault="00096613" w:rsidP="00096613">
            <w:pPr>
              <w:rPr>
                <w:rFonts w:ascii="Calibri" w:hAnsi="Calibri" w:cs="Calibri"/>
              </w:rPr>
            </w:pPr>
          </w:p>
        </w:tc>
        <w:tc>
          <w:tcPr>
            <w:tcW w:w="1455" w:type="dxa"/>
            <w:gridSpan w:val="2"/>
            <w:vAlign w:val="center"/>
          </w:tcPr>
          <w:p w14:paraId="1D284466" w14:textId="77777777" w:rsidR="00096613" w:rsidRPr="00CF2E7C" w:rsidRDefault="00096613" w:rsidP="00096613">
            <w:pPr>
              <w:rPr>
                <w:rFonts w:ascii="Calibri" w:hAnsi="Calibri" w:cs="Calibri"/>
              </w:rPr>
            </w:pPr>
          </w:p>
        </w:tc>
        <w:tc>
          <w:tcPr>
            <w:tcW w:w="1505" w:type="dxa"/>
          </w:tcPr>
          <w:p w14:paraId="2CD4C703" w14:textId="7927E08A" w:rsidR="00096613" w:rsidRPr="00CF2E7C" w:rsidRDefault="00096613" w:rsidP="00096613">
            <w:pPr>
              <w:rPr>
                <w:rFonts w:ascii="Calibri" w:hAnsi="Calibri" w:cs="Calibri"/>
              </w:rPr>
            </w:pPr>
            <w:r w:rsidRPr="004852DE">
              <w:rPr>
                <w:rFonts w:ascii="Calibri" w:hAnsi="Calibri" w:cs="Calibri"/>
              </w:rPr>
              <w:t>X</w:t>
            </w:r>
          </w:p>
        </w:tc>
      </w:tr>
      <w:tr w:rsidR="00096613" w:rsidRPr="009C4D10" w14:paraId="32DC1CDD" w14:textId="77777777" w:rsidTr="036DDA71">
        <w:trPr>
          <w:trHeight w:val="300"/>
        </w:trPr>
        <w:tc>
          <w:tcPr>
            <w:tcW w:w="1065" w:type="dxa"/>
            <w:vAlign w:val="center"/>
          </w:tcPr>
          <w:p w14:paraId="2723A6DB" w14:textId="67A7AD21" w:rsidR="00096613" w:rsidRPr="00CF2E7C" w:rsidRDefault="00096613" w:rsidP="00096613">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096613" w:rsidRPr="00CF2E7C" w:rsidRDefault="00096613" w:rsidP="00096613">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096613" w:rsidRPr="00CF2E7C" w:rsidRDefault="00096613" w:rsidP="00096613">
            <w:pPr>
              <w:rPr>
                <w:rFonts w:ascii="Calibri" w:hAnsi="Calibri" w:cs="Calibri"/>
              </w:rPr>
            </w:pPr>
          </w:p>
        </w:tc>
        <w:tc>
          <w:tcPr>
            <w:tcW w:w="1455" w:type="dxa"/>
            <w:gridSpan w:val="2"/>
            <w:vAlign w:val="center"/>
          </w:tcPr>
          <w:p w14:paraId="5A7414BC" w14:textId="77777777" w:rsidR="00096613" w:rsidRPr="00CF2E7C" w:rsidRDefault="00096613" w:rsidP="00096613">
            <w:pPr>
              <w:rPr>
                <w:rFonts w:ascii="Calibri" w:hAnsi="Calibri" w:cs="Calibri"/>
              </w:rPr>
            </w:pPr>
          </w:p>
        </w:tc>
        <w:tc>
          <w:tcPr>
            <w:tcW w:w="1505" w:type="dxa"/>
          </w:tcPr>
          <w:p w14:paraId="324C4411" w14:textId="09DE1156" w:rsidR="00096613" w:rsidRPr="00CF2E7C" w:rsidRDefault="00096613" w:rsidP="00096613">
            <w:pPr>
              <w:rPr>
                <w:rFonts w:ascii="Calibri" w:hAnsi="Calibri" w:cs="Calibri"/>
              </w:rPr>
            </w:pPr>
            <w:r w:rsidRPr="004852DE">
              <w:rPr>
                <w:rFonts w:ascii="Calibri" w:hAnsi="Calibri" w:cs="Calibri"/>
              </w:rPr>
              <w:t>X</w:t>
            </w:r>
          </w:p>
        </w:tc>
      </w:tr>
      <w:tr w:rsidR="00096613" w:rsidRPr="009C4D10" w14:paraId="719D5881" w14:textId="77777777" w:rsidTr="036DDA71">
        <w:trPr>
          <w:trHeight w:val="24"/>
        </w:trPr>
        <w:tc>
          <w:tcPr>
            <w:tcW w:w="1065" w:type="dxa"/>
            <w:vAlign w:val="center"/>
          </w:tcPr>
          <w:p w14:paraId="414C1836" w14:textId="32974EF8" w:rsidR="00096613" w:rsidRPr="00CF2E7C" w:rsidRDefault="00096613" w:rsidP="00096613">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096613" w:rsidRPr="00CF2E7C" w:rsidRDefault="00096613" w:rsidP="00096613">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096613" w:rsidRPr="00CF2E7C" w:rsidRDefault="00096613" w:rsidP="00096613">
            <w:pPr>
              <w:rPr>
                <w:rFonts w:ascii="Calibri" w:hAnsi="Calibri" w:cs="Calibri"/>
              </w:rPr>
            </w:pPr>
          </w:p>
        </w:tc>
        <w:tc>
          <w:tcPr>
            <w:tcW w:w="1455" w:type="dxa"/>
            <w:gridSpan w:val="2"/>
            <w:vAlign w:val="center"/>
          </w:tcPr>
          <w:p w14:paraId="52DD1FFC" w14:textId="77777777" w:rsidR="00096613" w:rsidRPr="00CF2E7C" w:rsidRDefault="00096613" w:rsidP="00096613">
            <w:pPr>
              <w:rPr>
                <w:rFonts w:ascii="Calibri" w:hAnsi="Calibri" w:cs="Calibri"/>
              </w:rPr>
            </w:pPr>
          </w:p>
        </w:tc>
        <w:tc>
          <w:tcPr>
            <w:tcW w:w="1505" w:type="dxa"/>
          </w:tcPr>
          <w:p w14:paraId="0820E928" w14:textId="274BC5D1" w:rsidR="00096613" w:rsidRPr="00CF2E7C" w:rsidRDefault="00096613" w:rsidP="00096613">
            <w:pPr>
              <w:rPr>
                <w:rFonts w:ascii="Calibri" w:hAnsi="Calibri" w:cs="Calibri"/>
              </w:rPr>
            </w:pPr>
            <w:r w:rsidRPr="004852DE">
              <w:rPr>
                <w:rFonts w:ascii="Calibri" w:hAnsi="Calibri" w:cs="Calibri"/>
              </w:rPr>
              <w:t>X</w:t>
            </w:r>
          </w:p>
        </w:tc>
      </w:tr>
      <w:tr w:rsidR="00096613" w:rsidRPr="009C4D10" w14:paraId="048B2A89" w14:textId="77777777" w:rsidTr="036DDA71">
        <w:trPr>
          <w:trHeight w:val="24"/>
        </w:trPr>
        <w:tc>
          <w:tcPr>
            <w:tcW w:w="1065" w:type="dxa"/>
            <w:vAlign w:val="center"/>
          </w:tcPr>
          <w:p w14:paraId="3C5936D0" w14:textId="05729924" w:rsidR="00096613" w:rsidRPr="00CF2E7C" w:rsidRDefault="00096613" w:rsidP="00096613">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096613" w:rsidRPr="00CF2E7C" w:rsidRDefault="00096613" w:rsidP="00096613">
            <w:pPr>
              <w:rPr>
                <w:rFonts w:ascii="Calibri" w:hAnsi="Calibri" w:cs="Calibri"/>
              </w:rPr>
            </w:pPr>
            <w:r w:rsidRPr="00CF2E7C">
              <w:rPr>
                <w:rFonts w:ascii="Calibri" w:hAnsi="Calibri" w:cs="Calibri"/>
              </w:rPr>
              <w:t>Other</w:t>
            </w:r>
          </w:p>
        </w:tc>
        <w:tc>
          <w:tcPr>
            <w:tcW w:w="1456" w:type="dxa"/>
            <w:vAlign w:val="center"/>
          </w:tcPr>
          <w:p w14:paraId="0AD5C2B3" w14:textId="77777777" w:rsidR="00096613" w:rsidRPr="00CF2E7C" w:rsidRDefault="00096613" w:rsidP="00096613">
            <w:pPr>
              <w:rPr>
                <w:rFonts w:ascii="Calibri" w:hAnsi="Calibri" w:cs="Calibri"/>
              </w:rPr>
            </w:pPr>
          </w:p>
        </w:tc>
        <w:tc>
          <w:tcPr>
            <w:tcW w:w="1455" w:type="dxa"/>
            <w:gridSpan w:val="2"/>
            <w:vAlign w:val="center"/>
          </w:tcPr>
          <w:p w14:paraId="459AF8B6" w14:textId="0AEFE24A" w:rsidR="00096613" w:rsidRPr="00CF2E7C" w:rsidRDefault="00096613" w:rsidP="00096613">
            <w:pPr>
              <w:rPr>
                <w:rFonts w:ascii="Calibri" w:hAnsi="Calibri" w:cs="Calibri"/>
              </w:rPr>
            </w:pPr>
          </w:p>
        </w:tc>
        <w:tc>
          <w:tcPr>
            <w:tcW w:w="1505" w:type="dxa"/>
          </w:tcPr>
          <w:p w14:paraId="654433FC" w14:textId="5609B205" w:rsidR="00096613" w:rsidRPr="00CF2E7C" w:rsidRDefault="00096613" w:rsidP="00096613">
            <w:pPr>
              <w:rPr>
                <w:rFonts w:ascii="Calibri" w:hAnsi="Calibri" w:cs="Calibri"/>
              </w:rPr>
            </w:pPr>
          </w:p>
        </w:tc>
      </w:tr>
      <w:tr w:rsidR="00DD292A" w:rsidRPr="009C4D10" w14:paraId="17D59EFD" w14:textId="77777777" w:rsidTr="036DDA71">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36DDA71">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238D197D" w:rsidR="00DD292A" w:rsidRPr="00CF2E7C" w:rsidRDefault="00DD292A" w:rsidP="00CF2E7C">
            <w:pPr>
              <w:rPr>
                <w:rFonts w:ascii="Calibri" w:hAnsi="Calibri" w:cs="Calibri"/>
              </w:rPr>
            </w:pPr>
          </w:p>
        </w:tc>
      </w:tr>
      <w:tr w:rsidR="00DD292A" w:rsidRPr="009C4D10" w14:paraId="768412B0" w14:textId="77777777" w:rsidTr="036DDA71">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36DDA71">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36DDA71">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36DDA71">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EFBD696" w:rsidR="00DD292A" w:rsidRPr="00CF2E7C" w:rsidRDefault="00276B75"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36DDA71">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0E63FAF5" w:rsidR="00DD292A" w:rsidRPr="00CF2E7C" w:rsidRDefault="00276B75" w:rsidP="00CF2E7C">
            <w:pPr>
              <w:rPr>
                <w:rFonts w:ascii="Calibri" w:hAnsi="Calibri" w:cs="Calibri"/>
              </w:rPr>
            </w:pPr>
            <w:r>
              <w:rPr>
                <w:rFonts w:ascii="Calibri" w:hAnsi="Calibri" w:cs="Calibri"/>
              </w:rPr>
              <w:t>X</w:t>
            </w:r>
          </w:p>
        </w:tc>
      </w:tr>
      <w:tr w:rsidR="00276B75" w:rsidRPr="009C4D10" w14:paraId="16E91DFA" w14:textId="77777777" w:rsidTr="036DDA71">
        <w:trPr>
          <w:trHeight w:val="35"/>
        </w:trPr>
        <w:tc>
          <w:tcPr>
            <w:tcW w:w="1065" w:type="dxa"/>
            <w:vAlign w:val="center"/>
          </w:tcPr>
          <w:p w14:paraId="5770A979" w14:textId="3E8A8F56" w:rsidR="00276B75" w:rsidRPr="00CF2E7C" w:rsidRDefault="00276B75" w:rsidP="00276B75">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276B75" w:rsidRPr="00CF2E7C" w:rsidRDefault="00276B75" w:rsidP="00276B75">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276B75" w:rsidRPr="00CF2E7C" w:rsidRDefault="00276B75" w:rsidP="00276B75">
            <w:pPr>
              <w:rPr>
                <w:rFonts w:ascii="Calibri" w:hAnsi="Calibri" w:cs="Calibri"/>
              </w:rPr>
            </w:pPr>
          </w:p>
        </w:tc>
        <w:tc>
          <w:tcPr>
            <w:tcW w:w="1455" w:type="dxa"/>
            <w:gridSpan w:val="2"/>
            <w:vAlign w:val="center"/>
          </w:tcPr>
          <w:p w14:paraId="4FF5C987" w14:textId="77777777" w:rsidR="00276B75" w:rsidRPr="00CF2E7C" w:rsidRDefault="00276B75" w:rsidP="00276B75">
            <w:pPr>
              <w:rPr>
                <w:rFonts w:ascii="Calibri" w:hAnsi="Calibri" w:cs="Calibri"/>
              </w:rPr>
            </w:pPr>
          </w:p>
        </w:tc>
        <w:tc>
          <w:tcPr>
            <w:tcW w:w="1505" w:type="dxa"/>
          </w:tcPr>
          <w:p w14:paraId="2341305D" w14:textId="3180BA29" w:rsidR="00276B75" w:rsidRPr="00CF2E7C" w:rsidRDefault="00276B75" w:rsidP="00276B75">
            <w:pPr>
              <w:rPr>
                <w:rFonts w:ascii="Calibri" w:hAnsi="Calibri" w:cs="Calibri"/>
              </w:rPr>
            </w:pPr>
            <w:r w:rsidRPr="009A235C">
              <w:rPr>
                <w:rFonts w:ascii="Calibri" w:hAnsi="Calibri" w:cs="Calibri"/>
              </w:rPr>
              <w:t>X</w:t>
            </w:r>
          </w:p>
        </w:tc>
      </w:tr>
      <w:tr w:rsidR="00276B75" w:rsidRPr="009C4D10" w14:paraId="6EA2AFE0" w14:textId="77777777" w:rsidTr="036DDA71">
        <w:trPr>
          <w:trHeight w:val="35"/>
        </w:trPr>
        <w:tc>
          <w:tcPr>
            <w:tcW w:w="1065" w:type="dxa"/>
            <w:vAlign w:val="center"/>
          </w:tcPr>
          <w:p w14:paraId="082FD086" w14:textId="0D756AE9" w:rsidR="00276B75" w:rsidRPr="00CF2E7C" w:rsidRDefault="00276B75" w:rsidP="00276B75">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276B75" w:rsidRPr="00CF2E7C" w:rsidRDefault="00276B75" w:rsidP="00276B75">
            <w:pPr>
              <w:rPr>
                <w:rFonts w:ascii="Calibri" w:hAnsi="Calibri" w:cs="Calibri"/>
              </w:rPr>
            </w:pPr>
            <w:r w:rsidRPr="00CF2E7C">
              <w:rPr>
                <w:rFonts w:ascii="Calibri" w:hAnsi="Calibri" w:cs="Calibri"/>
              </w:rPr>
              <w:t>Asset Managers</w:t>
            </w:r>
          </w:p>
        </w:tc>
        <w:tc>
          <w:tcPr>
            <w:tcW w:w="1456" w:type="dxa"/>
            <w:vAlign w:val="center"/>
          </w:tcPr>
          <w:p w14:paraId="3BA0C0E8" w14:textId="77777777" w:rsidR="00276B75" w:rsidRPr="00CF2E7C" w:rsidRDefault="00276B75" w:rsidP="00276B75">
            <w:pPr>
              <w:rPr>
                <w:rFonts w:ascii="Calibri" w:hAnsi="Calibri" w:cs="Calibri"/>
              </w:rPr>
            </w:pPr>
          </w:p>
        </w:tc>
        <w:tc>
          <w:tcPr>
            <w:tcW w:w="1455" w:type="dxa"/>
            <w:gridSpan w:val="2"/>
            <w:vAlign w:val="center"/>
          </w:tcPr>
          <w:p w14:paraId="21154B2A" w14:textId="77777777" w:rsidR="00276B75" w:rsidRPr="00CF2E7C" w:rsidRDefault="00276B75" w:rsidP="00276B75">
            <w:pPr>
              <w:rPr>
                <w:rFonts w:ascii="Calibri" w:hAnsi="Calibri" w:cs="Calibri"/>
              </w:rPr>
            </w:pPr>
          </w:p>
        </w:tc>
        <w:tc>
          <w:tcPr>
            <w:tcW w:w="1505" w:type="dxa"/>
          </w:tcPr>
          <w:p w14:paraId="48F15DA7" w14:textId="32727696" w:rsidR="00276B75" w:rsidRPr="00CF2E7C" w:rsidRDefault="00276B75" w:rsidP="00276B75">
            <w:pPr>
              <w:rPr>
                <w:rFonts w:ascii="Calibri" w:hAnsi="Calibri" w:cs="Calibri"/>
              </w:rPr>
            </w:pPr>
            <w:r w:rsidRPr="009A235C">
              <w:rPr>
                <w:rFonts w:ascii="Calibri" w:hAnsi="Calibri" w:cs="Calibri"/>
              </w:rPr>
              <w:t>X</w:t>
            </w:r>
          </w:p>
        </w:tc>
      </w:tr>
      <w:tr w:rsidR="00276B75" w:rsidRPr="009C4D10" w14:paraId="33CFEA62" w14:textId="77777777" w:rsidTr="036DDA71">
        <w:trPr>
          <w:trHeight w:val="35"/>
        </w:trPr>
        <w:tc>
          <w:tcPr>
            <w:tcW w:w="1065" w:type="dxa"/>
            <w:vAlign w:val="center"/>
          </w:tcPr>
          <w:p w14:paraId="724206E7" w14:textId="61AEAC7E" w:rsidR="00276B75" w:rsidRPr="00CF2E7C" w:rsidRDefault="00276B75" w:rsidP="00276B75">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276B75" w:rsidRPr="00CF2E7C" w:rsidRDefault="00276B75" w:rsidP="00276B75">
            <w:pPr>
              <w:rPr>
                <w:rFonts w:ascii="Calibri" w:hAnsi="Calibri" w:cs="Calibri"/>
              </w:rPr>
            </w:pPr>
            <w:r w:rsidRPr="00CF2E7C">
              <w:rPr>
                <w:rFonts w:ascii="Calibri" w:hAnsi="Calibri" w:cs="Calibri"/>
              </w:rPr>
              <w:t>Pension Funds</w:t>
            </w:r>
          </w:p>
        </w:tc>
        <w:tc>
          <w:tcPr>
            <w:tcW w:w="1456" w:type="dxa"/>
            <w:vAlign w:val="center"/>
          </w:tcPr>
          <w:p w14:paraId="7A479C51" w14:textId="77777777" w:rsidR="00276B75" w:rsidRPr="00CF2E7C" w:rsidRDefault="00276B75" w:rsidP="00276B75">
            <w:pPr>
              <w:rPr>
                <w:rFonts w:ascii="Calibri" w:hAnsi="Calibri" w:cs="Calibri"/>
              </w:rPr>
            </w:pPr>
          </w:p>
        </w:tc>
        <w:tc>
          <w:tcPr>
            <w:tcW w:w="1455" w:type="dxa"/>
            <w:gridSpan w:val="2"/>
            <w:vAlign w:val="center"/>
          </w:tcPr>
          <w:p w14:paraId="2844CBF5" w14:textId="77777777" w:rsidR="00276B75" w:rsidRPr="00CF2E7C" w:rsidRDefault="00276B75" w:rsidP="00276B75">
            <w:pPr>
              <w:rPr>
                <w:rFonts w:ascii="Calibri" w:hAnsi="Calibri" w:cs="Calibri"/>
              </w:rPr>
            </w:pPr>
          </w:p>
        </w:tc>
        <w:tc>
          <w:tcPr>
            <w:tcW w:w="1505" w:type="dxa"/>
          </w:tcPr>
          <w:p w14:paraId="72514BA5" w14:textId="6C3C1B1A" w:rsidR="00276B75" w:rsidRPr="00CF2E7C" w:rsidRDefault="00276B75" w:rsidP="00276B75">
            <w:pPr>
              <w:rPr>
                <w:rFonts w:ascii="Calibri" w:hAnsi="Calibri" w:cs="Calibri"/>
              </w:rPr>
            </w:pPr>
            <w:r w:rsidRPr="009A235C">
              <w:rPr>
                <w:rFonts w:ascii="Calibri" w:hAnsi="Calibri" w:cs="Calibri"/>
              </w:rPr>
              <w:t>X</w:t>
            </w:r>
          </w:p>
        </w:tc>
      </w:tr>
      <w:tr w:rsidR="00276B75" w:rsidRPr="009C4D10" w14:paraId="7B9E143E" w14:textId="77777777" w:rsidTr="036DDA71">
        <w:trPr>
          <w:trHeight w:val="35"/>
        </w:trPr>
        <w:tc>
          <w:tcPr>
            <w:tcW w:w="1065" w:type="dxa"/>
            <w:vAlign w:val="center"/>
          </w:tcPr>
          <w:p w14:paraId="4A5F8BBD" w14:textId="56EA27A6" w:rsidR="00276B75" w:rsidRPr="00CF2E7C" w:rsidRDefault="00276B75" w:rsidP="00276B75">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276B75" w:rsidRPr="00CF2E7C" w:rsidRDefault="00276B75" w:rsidP="00276B75">
            <w:pPr>
              <w:rPr>
                <w:rFonts w:ascii="Calibri" w:hAnsi="Calibri" w:cs="Calibri"/>
              </w:rPr>
            </w:pPr>
            <w:r w:rsidRPr="00CF2E7C">
              <w:rPr>
                <w:rFonts w:ascii="Calibri" w:hAnsi="Calibri" w:cs="Calibri"/>
              </w:rPr>
              <w:t>Other</w:t>
            </w:r>
          </w:p>
        </w:tc>
        <w:tc>
          <w:tcPr>
            <w:tcW w:w="1456" w:type="dxa"/>
            <w:vAlign w:val="center"/>
          </w:tcPr>
          <w:p w14:paraId="3C341D29" w14:textId="77777777" w:rsidR="00276B75" w:rsidRPr="00CF2E7C" w:rsidRDefault="00276B75" w:rsidP="00276B75">
            <w:pPr>
              <w:rPr>
                <w:rFonts w:ascii="Calibri" w:hAnsi="Calibri" w:cs="Calibri"/>
              </w:rPr>
            </w:pPr>
          </w:p>
        </w:tc>
        <w:tc>
          <w:tcPr>
            <w:tcW w:w="1455" w:type="dxa"/>
            <w:gridSpan w:val="2"/>
            <w:vAlign w:val="center"/>
          </w:tcPr>
          <w:p w14:paraId="364F7D9F" w14:textId="77777777" w:rsidR="00276B75" w:rsidRPr="00CF2E7C" w:rsidRDefault="00276B75" w:rsidP="00276B75">
            <w:pPr>
              <w:rPr>
                <w:rFonts w:ascii="Calibri" w:hAnsi="Calibri" w:cs="Calibri"/>
              </w:rPr>
            </w:pPr>
          </w:p>
        </w:tc>
        <w:tc>
          <w:tcPr>
            <w:tcW w:w="1505" w:type="dxa"/>
          </w:tcPr>
          <w:p w14:paraId="2292FA6E" w14:textId="0ECC6AC9" w:rsidR="00276B75" w:rsidRPr="00CF2E7C" w:rsidRDefault="00276B75" w:rsidP="00276B75">
            <w:pPr>
              <w:rPr>
                <w:rFonts w:ascii="Calibri" w:hAnsi="Calibri" w:cs="Calibri"/>
              </w:rPr>
            </w:pPr>
          </w:p>
        </w:tc>
      </w:tr>
      <w:tr w:rsidR="00DD292A" w:rsidRPr="009C4D10" w14:paraId="5C8845A0" w14:textId="77777777" w:rsidTr="036DDA71">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36DDA71">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36DDA71">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36DDA71">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36DDA71">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36DDA71">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36DDA71">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36DDA71">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36DDA71">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36DDA71">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36DDA71">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36DDA71">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36DDA71">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36DDA71">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36DDA71">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36DDA71">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36DDA71">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36DDA71">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36DDA71">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36DDA71">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36DDA71">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36DDA71">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36DDA71">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36DDA71">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36DDA71">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36DDA71">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36DDA71">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36DDA71">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36DDA71">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36DDA71">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D33037" w:rsidR="00DD292A" w:rsidRPr="00CF2E7C" w:rsidRDefault="00C40424" w:rsidP="00CF2E7C">
            <w:pPr>
              <w:rPr>
                <w:rFonts w:ascii="Calibri" w:hAnsi="Calibri" w:cs="Calibri"/>
              </w:rPr>
            </w:pPr>
            <w:r w:rsidRPr="00C40424">
              <w:rPr>
                <w:rFonts w:ascii="Calibri" w:hAnsi="Calibri" w:cs="Calibri"/>
              </w:rPr>
              <w:t>This policy tool does not target specific sectors directly. However, through the credit allocation practices of banks, it may have indirect implications across various sectors depending on their environmental and climate-related risk exposures.</w:t>
            </w:r>
          </w:p>
        </w:tc>
      </w:tr>
      <w:tr w:rsidR="00DD292A" w:rsidRPr="009C4D10" w14:paraId="05E5DCEA" w14:textId="77777777" w:rsidTr="036DDA71">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36DDA71">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36DDA71">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1D7F702B" w:rsidR="00DD292A" w:rsidRPr="00CF2E7C" w:rsidRDefault="003B5D42" w:rsidP="00AF7791">
            <w:pPr>
              <w:jc w:val="both"/>
              <w:rPr>
                <w:rFonts w:ascii="Calibri" w:hAnsi="Calibri" w:cs="Calibri"/>
              </w:rPr>
            </w:pPr>
            <w:r>
              <w:rPr>
                <w:rFonts w:ascii="Calibri" w:hAnsi="Calibri" w:cs="Calibri"/>
              </w:rPr>
              <w:t>N/A - N</w:t>
            </w:r>
            <w:r w:rsidRPr="003B5D42">
              <w:rPr>
                <w:rFonts w:ascii="Calibri" w:hAnsi="Calibri" w:cs="Calibri"/>
              </w:rPr>
              <w:t>o employee threshold defined.</w:t>
            </w:r>
          </w:p>
        </w:tc>
      </w:tr>
      <w:tr w:rsidR="00DD292A" w:rsidRPr="009C4D10" w14:paraId="7A547042" w14:textId="77777777" w:rsidTr="036DDA71">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21CDC4F" w:rsidR="00DD292A" w:rsidRPr="00CF2E7C" w:rsidRDefault="00175B93" w:rsidP="00AF7791">
            <w:pPr>
              <w:jc w:val="both"/>
              <w:rPr>
                <w:rFonts w:ascii="Calibri" w:hAnsi="Calibri" w:cs="Calibri"/>
              </w:rPr>
            </w:pPr>
            <w:r>
              <w:rPr>
                <w:rFonts w:ascii="Calibri" w:hAnsi="Calibri" w:cs="Calibri"/>
              </w:rPr>
              <w:t>N/A - N</w:t>
            </w:r>
            <w:r w:rsidRPr="00175B93">
              <w:rPr>
                <w:rFonts w:ascii="Calibri" w:hAnsi="Calibri" w:cs="Calibri"/>
              </w:rPr>
              <w:t>o revenue threshold defined.</w:t>
            </w:r>
          </w:p>
        </w:tc>
      </w:tr>
      <w:tr w:rsidR="00DD292A" w:rsidRPr="00E53255" w14:paraId="7FB41779" w14:textId="77777777" w:rsidTr="036DDA71">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00E05879" w:rsidR="00DD292A" w:rsidRPr="00CF2E7C" w:rsidRDefault="00BC6191" w:rsidP="00AF7791">
            <w:pPr>
              <w:jc w:val="both"/>
              <w:rPr>
                <w:rFonts w:ascii="Calibri" w:hAnsi="Calibri" w:cs="Calibri"/>
                <w:lang w:val="sv-SE"/>
              </w:rPr>
            </w:pPr>
            <w:r>
              <w:rPr>
                <w:rFonts w:ascii="Calibri" w:hAnsi="Calibri" w:cs="Calibri"/>
              </w:rPr>
              <w:t>N/A - No</w:t>
            </w:r>
            <w:r w:rsidR="00AF7791" w:rsidRPr="00AF7791">
              <w:t xml:space="preserve"> </w:t>
            </w:r>
            <w:r w:rsidR="00AF7791" w:rsidRPr="00AF7791">
              <w:rPr>
                <w:rFonts w:ascii="Calibri" w:hAnsi="Calibri" w:cs="Calibri"/>
              </w:rPr>
              <w:t>asset threshold defined.</w:t>
            </w:r>
          </w:p>
        </w:tc>
      </w:tr>
      <w:tr w:rsidR="00DD292A" w:rsidRPr="009C4D10" w14:paraId="4B4232A4" w14:textId="77777777" w:rsidTr="036DDA71">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39E1C688" w:rsidR="00DD292A" w:rsidRPr="00CF2E7C" w:rsidRDefault="00BC6191" w:rsidP="00AF7791">
            <w:pPr>
              <w:jc w:val="both"/>
              <w:rPr>
                <w:rFonts w:ascii="Calibri" w:hAnsi="Calibri" w:cs="Calibri"/>
              </w:rPr>
            </w:pPr>
            <w:r>
              <w:rPr>
                <w:rFonts w:ascii="Calibri" w:hAnsi="Calibri" w:cs="Calibri"/>
              </w:rPr>
              <w:t>N/A - No</w:t>
            </w:r>
            <w:r w:rsidR="00AF7791" w:rsidRPr="00AF7791">
              <w:t xml:space="preserve"> </w:t>
            </w:r>
            <w:r w:rsidR="00AF7791" w:rsidRPr="00AF7791">
              <w:rPr>
                <w:rFonts w:ascii="Calibri" w:hAnsi="Calibri" w:cs="Calibri"/>
              </w:rPr>
              <w:t>contract value threshold defined.</w:t>
            </w:r>
          </w:p>
        </w:tc>
      </w:tr>
      <w:tr w:rsidR="00DD292A" w:rsidRPr="009C4D10" w14:paraId="6D98FD5A" w14:textId="77777777" w:rsidTr="036DDA71">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B3A9B83" w:rsidR="00DD292A" w:rsidRPr="00CF2E7C" w:rsidRDefault="00AF7791" w:rsidP="00AF7791">
            <w:pPr>
              <w:jc w:val="both"/>
              <w:rPr>
                <w:rFonts w:ascii="Calibri" w:hAnsi="Calibri" w:cs="Calibri"/>
              </w:rPr>
            </w:pPr>
            <w:r w:rsidRPr="00AF7791">
              <w:rPr>
                <w:rFonts w:ascii="Calibri" w:hAnsi="Calibri" w:cs="Calibri"/>
              </w:rPr>
              <w:t>Applies to banks operating in Türkiye, regardless of headquarters location.</w:t>
            </w:r>
          </w:p>
        </w:tc>
      </w:tr>
      <w:tr w:rsidR="00DD292A" w:rsidRPr="009C4D10" w14:paraId="250CFB33" w14:textId="77777777" w:rsidTr="036DDA71">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6BAAF94C" w:rsidR="00DD292A" w:rsidRPr="00CF2E7C" w:rsidRDefault="0076575D" w:rsidP="0076575D">
            <w:pPr>
              <w:jc w:val="both"/>
              <w:rPr>
                <w:rFonts w:ascii="Calibri" w:hAnsi="Calibri" w:cs="Calibri"/>
              </w:rPr>
            </w:pPr>
            <w:r w:rsidRPr="0076575D">
              <w:rPr>
                <w:rFonts w:ascii="Calibri" w:hAnsi="Calibri" w:cs="Calibri"/>
              </w:rPr>
              <w:t xml:space="preserve">Applies to all banks licensed by the </w:t>
            </w:r>
            <w:r>
              <w:rPr>
                <w:rFonts w:ascii="Calibri" w:hAnsi="Calibri" w:cs="Calibri"/>
              </w:rPr>
              <w:t>BRSA</w:t>
            </w:r>
            <w:r w:rsidRPr="0076575D">
              <w:rPr>
                <w:rFonts w:ascii="Calibri" w:hAnsi="Calibri" w:cs="Calibri"/>
              </w:rPr>
              <w:t xml:space="preserve"> operating in Türkiye. No additional thresholds based on revenue, assets, or employment apply under </w:t>
            </w:r>
            <w:r>
              <w:rPr>
                <w:rFonts w:ascii="Calibri" w:hAnsi="Calibri" w:cs="Calibri"/>
              </w:rPr>
              <w:t>the Guideline</w:t>
            </w:r>
            <w:r w:rsidRPr="0076575D">
              <w:rPr>
                <w:rFonts w:ascii="Calibri" w:hAnsi="Calibri" w:cs="Calibri"/>
              </w:rPr>
              <w:t>.</w:t>
            </w:r>
          </w:p>
        </w:tc>
      </w:tr>
      <w:tr w:rsidR="00DD292A" w:rsidRPr="009C4D10" w14:paraId="7DABB7EF" w14:textId="77777777" w:rsidTr="036DDA71">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36DDA71">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FFBB155" w:rsidR="00DD292A" w:rsidRPr="00CF2E7C" w:rsidRDefault="007D7A4D" w:rsidP="00CF2E7C">
            <w:pPr>
              <w:rPr>
                <w:rFonts w:ascii="Calibri" w:hAnsi="Calibri" w:cs="Calibri"/>
              </w:rPr>
            </w:pPr>
            <w:r>
              <w:rPr>
                <w:rFonts w:ascii="Calibri" w:hAnsi="Calibri" w:cs="Calibri"/>
              </w:rPr>
              <w:t>X</w:t>
            </w:r>
          </w:p>
        </w:tc>
      </w:tr>
      <w:tr w:rsidR="00DD292A" w:rsidRPr="009C4D10" w14:paraId="4F91F2AD" w14:textId="77777777" w:rsidTr="036DDA71">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36DDA71">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36DDA71">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36DDA71">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36DDA71">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36DDA71">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70BC11E" w:rsidR="00DD3B33" w:rsidRPr="00CF2E7C" w:rsidRDefault="00E053A3" w:rsidP="00CF2E7C">
            <w:pPr>
              <w:rPr>
                <w:rFonts w:ascii="Calibri" w:hAnsi="Calibri" w:cs="Calibri"/>
              </w:rPr>
            </w:pPr>
            <w:r>
              <w:rPr>
                <w:rFonts w:ascii="Calibri" w:hAnsi="Calibri" w:cs="Calibri"/>
              </w:rPr>
              <w:t>X</w:t>
            </w:r>
          </w:p>
        </w:tc>
      </w:tr>
      <w:tr w:rsidR="00DD3B33" w:rsidRPr="009C4D10" w14:paraId="75374B54" w14:textId="77777777" w:rsidTr="036DDA71">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22EAA7F5" w:rsidR="00DD3B33" w:rsidRPr="00CF2E7C" w:rsidRDefault="00DD3B33" w:rsidP="00CF2E7C">
            <w:pPr>
              <w:rPr>
                <w:rFonts w:ascii="Calibri" w:hAnsi="Calibri" w:cs="Calibri"/>
              </w:rPr>
            </w:pPr>
          </w:p>
        </w:tc>
      </w:tr>
      <w:tr w:rsidR="00DD3B33" w:rsidRPr="009C4D10" w14:paraId="4EB0AF77" w14:textId="77777777" w:rsidTr="036DDA71">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36DDA71">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36DDA71">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36DDA71">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F3A181B" w:rsidR="00DD3B33" w:rsidRPr="00CF2E7C" w:rsidRDefault="00DD3B33" w:rsidP="00CF2E7C">
            <w:pPr>
              <w:rPr>
                <w:rFonts w:ascii="Calibri" w:hAnsi="Calibri" w:cs="Calibri"/>
              </w:rPr>
            </w:pPr>
          </w:p>
        </w:tc>
      </w:tr>
      <w:tr w:rsidR="00DD3B33" w:rsidRPr="009C4D10" w14:paraId="6D216163" w14:textId="77777777" w:rsidTr="036DDA71">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36DDA71">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5820613" w:rsidR="00DD3B33" w:rsidRPr="00CF2E7C" w:rsidRDefault="00DD3B33" w:rsidP="00CF2E7C">
            <w:pPr>
              <w:rPr>
                <w:rFonts w:ascii="Calibri" w:hAnsi="Calibri" w:cs="Calibri"/>
              </w:rPr>
            </w:pPr>
          </w:p>
        </w:tc>
      </w:tr>
      <w:tr w:rsidR="00DD3B33" w:rsidRPr="009C4D10" w14:paraId="2386E4BD" w14:textId="77777777" w:rsidTr="036DDA71">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36DDA71">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12BB7CD5" w:rsidR="00DD3B33" w:rsidRPr="00CF2E7C" w:rsidRDefault="00DD3B33" w:rsidP="00CF2E7C">
            <w:pPr>
              <w:rPr>
                <w:rFonts w:ascii="Calibri" w:hAnsi="Calibri" w:cs="Calibri"/>
              </w:rPr>
            </w:pPr>
          </w:p>
        </w:tc>
      </w:tr>
      <w:tr w:rsidR="00DD3B33" w:rsidRPr="009C4D10" w14:paraId="73A36949" w14:textId="77777777" w:rsidTr="036DDA71">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36DDA71">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62C4FF4" w:rsidR="00DD3B33" w:rsidRPr="005430CA" w:rsidRDefault="005430CA" w:rsidP="001643F8">
            <w:pPr>
              <w:jc w:val="both"/>
              <w:rPr>
                <w:rFonts w:ascii="Calibri" w:hAnsi="Calibri" w:cs="Calibri"/>
                <w:lang w:val="tr-TR"/>
              </w:rPr>
            </w:pPr>
            <w:r w:rsidRPr="005430CA">
              <w:rPr>
                <w:rFonts w:ascii="Calibri" w:hAnsi="Calibri" w:cs="Calibri"/>
                <w:lang w:val="en-US"/>
              </w:rPr>
              <w:t>The Guideline does not list specific sanctions. However, it is issued pursuant to Article 93 of the Law, which gives BRSA the authority to impose binding regulations on banks operating in Türkiye. Non-compliance with such guidelines is therefore subject to the general enforcement and sanctioning framework set forth in the Law, which includes the following relevant provisions</w:t>
            </w:r>
            <w:r w:rsidR="00E15DA1">
              <w:rPr>
                <w:rFonts w:ascii="Calibri" w:hAnsi="Calibri" w:cs="Calibri"/>
                <w:lang w:val="en-US"/>
              </w:rPr>
              <w:t>.</w:t>
            </w:r>
            <w:r w:rsidR="00E15DA1" w:rsidRPr="00161EB3">
              <w:rPr>
                <w:rFonts w:ascii="Calibri" w:hAnsi="Calibri" w:cs="Calibri"/>
                <w:lang w:val="en-US"/>
              </w:rPr>
              <w:t xml:space="preserve"> As per Article 14</w:t>
            </w:r>
            <w:r w:rsidR="00E15DA1">
              <w:rPr>
                <w:rFonts w:ascii="Calibri" w:hAnsi="Calibri" w:cs="Calibri"/>
                <w:lang w:val="en-US"/>
              </w:rPr>
              <w:t>6</w:t>
            </w:r>
            <w:r w:rsidR="00E15DA1" w:rsidRPr="00161EB3">
              <w:rPr>
                <w:rFonts w:ascii="Calibri" w:hAnsi="Calibri" w:cs="Calibri"/>
                <w:lang w:val="en-US"/>
              </w:rPr>
              <w:t xml:space="preserve"> of the Law allows the imposition of administrative fines on banks that breach regulatory obligations issued by BRSA.</w:t>
            </w:r>
          </w:p>
        </w:tc>
      </w:tr>
      <w:tr w:rsidR="00DD292A" w:rsidRPr="009C4D10" w14:paraId="4AEB9761" w14:textId="77777777" w:rsidTr="036DDA71">
        <w:trPr>
          <w:trHeight w:val="1430"/>
        </w:trPr>
        <w:tc>
          <w:tcPr>
            <w:tcW w:w="1065" w:type="dxa"/>
            <w:shd w:val="clear" w:color="auto" w:fill="auto"/>
            <w:vAlign w:val="center"/>
          </w:tcPr>
          <w:p w14:paraId="013A258E" w14:textId="4C8126F5" w:rsidR="00DD292A" w:rsidRPr="00877ECA" w:rsidRDefault="007C77AA" w:rsidP="00CF2E7C">
            <w:pPr>
              <w:rPr>
                <w:rFonts w:ascii="Calibri" w:hAnsi="Calibri" w:cs="Calibri"/>
                <w:b/>
                <w:bCs/>
              </w:rPr>
            </w:pPr>
            <w:r w:rsidRPr="00877ECA">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36DDA71">
        <w:trPr>
          <w:trHeight w:val="440"/>
        </w:trPr>
        <w:tc>
          <w:tcPr>
            <w:tcW w:w="1065" w:type="dxa"/>
            <w:shd w:val="clear" w:color="auto" w:fill="auto"/>
            <w:vAlign w:val="center"/>
          </w:tcPr>
          <w:p w14:paraId="4B1B4F63" w14:textId="7C1F4018" w:rsidR="00DD292A" w:rsidRPr="00877ECA" w:rsidRDefault="007C77AA" w:rsidP="00CF2E7C">
            <w:pPr>
              <w:rPr>
                <w:rFonts w:ascii="Calibri" w:hAnsi="Calibri" w:cs="Calibri"/>
              </w:rPr>
            </w:pPr>
            <w:r w:rsidRPr="00877ECA">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44C26FE" w:rsidR="00DD292A" w:rsidRPr="00CF2E7C" w:rsidRDefault="00DD292A" w:rsidP="00CF2E7C">
            <w:pPr>
              <w:rPr>
                <w:rFonts w:ascii="Calibri" w:hAnsi="Calibri" w:cs="Calibri"/>
              </w:rPr>
            </w:pPr>
          </w:p>
        </w:tc>
      </w:tr>
      <w:tr w:rsidR="00DD292A" w:rsidRPr="009C4D10" w14:paraId="64797A48" w14:textId="77777777" w:rsidTr="036DDA71">
        <w:trPr>
          <w:trHeight w:val="440"/>
        </w:trPr>
        <w:tc>
          <w:tcPr>
            <w:tcW w:w="1065" w:type="dxa"/>
            <w:shd w:val="clear" w:color="auto" w:fill="auto"/>
            <w:vAlign w:val="center"/>
          </w:tcPr>
          <w:p w14:paraId="0F2E5F44" w14:textId="73F75B1B" w:rsidR="00DD292A" w:rsidRPr="00877ECA" w:rsidRDefault="007C77AA" w:rsidP="00CF2E7C">
            <w:pPr>
              <w:rPr>
                <w:rFonts w:ascii="Calibri" w:hAnsi="Calibri" w:cs="Calibri"/>
              </w:rPr>
            </w:pPr>
            <w:r w:rsidRPr="00877ECA">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F482D14" w:rsidR="00DD292A" w:rsidRPr="00CF2E7C" w:rsidRDefault="00DD292A" w:rsidP="00CF2E7C">
            <w:pPr>
              <w:rPr>
                <w:rFonts w:ascii="Calibri" w:hAnsi="Calibri" w:cs="Calibri"/>
              </w:rPr>
            </w:pPr>
          </w:p>
        </w:tc>
      </w:tr>
      <w:tr w:rsidR="00DD292A" w:rsidRPr="009C4D10" w14:paraId="760756BA" w14:textId="77777777" w:rsidTr="036DDA71">
        <w:trPr>
          <w:trHeight w:val="890"/>
        </w:trPr>
        <w:tc>
          <w:tcPr>
            <w:tcW w:w="1065" w:type="dxa"/>
            <w:shd w:val="clear" w:color="auto" w:fill="auto"/>
            <w:vAlign w:val="center"/>
          </w:tcPr>
          <w:p w14:paraId="235515C4" w14:textId="4553B114" w:rsidR="00DD292A" w:rsidRPr="00877ECA" w:rsidRDefault="00563224" w:rsidP="00CF2E7C">
            <w:pPr>
              <w:rPr>
                <w:rFonts w:ascii="Calibri" w:hAnsi="Calibri" w:cs="Calibri"/>
                <w:b/>
                <w:bCs/>
              </w:rPr>
            </w:pPr>
            <w:r w:rsidRPr="00877ECA">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36DDA71">
        <w:trPr>
          <w:trHeight w:val="1020"/>
        </w:trPr>
        <w:tc>
          <w:tcPr>
            <w:tcW w:w="1065" w:type="dxa"/>
            <w:vAlign w:val="center"/>
          </w:tcPr>
          <w:p w14:paraId="1297178F" w14:textId="77777777" w:rsidR="00DD292A" w:rsidRPr="00877ECA" w:rsidRDefault="00DD292A" w:rsidP="00CF2E7C">
            <w:pPr>
              <w:rPr>
                <w:rFonts w:ascii="Calibri" w:hAnsi="Calibri" w:cs="Calibri"/>
              </w:rPr>
            </w:pPr>
          </w:p>
        </w:tc>
        <w:tc>
          <w:tcPr>
            <w:tcW w:w="9375" w:type="dxa"/>
            <w:gridSpan w:val="7"/>
            <w:shd w:val="clear" w:color="auto" w:fill="auto"/>
            <w:vAlign w:val="center"/>
          </w:tcPr>
          <w:p w14:paraId="496F7156" w14:textId="112EDD64" w:rsidR="00DD292A" w:rsidRPr="00374D17" w:rsidRDefault="00DD292A" w:rsidP="008D5A6E">
            <w:pPr>
              <w:jc w:val="both"/>
              <w:rPr>
                <w:rFonts w:ascii="Calibri" w:hAnsi="Calibri" w:cs="Calibri"/>
                <w:lang w:val="en-US"/>
              </w:rPr>
            </w:pPr>
          </w:p>
        </w:tc>
      </w:tr>
      <w:tr w:rsidR="00DD292A" w:rsidRPr="009C4D10" w14:paraId="48E32054" w14:textId="77777777" w:rsidTr="036DDA71">
        <w:trPr>
          <w:trHeight w:val="1475"/>
        </w:trPr>
        <w:tc>
          <w:tcPr>
            <w:tcW w:w="1065" w:type="dxa"/>
            <w:shd w:val="clear" w:color="auto" w:fill="auto"/>
            <w:vAlign w:val="center"/>
          </w:tcPr>
          <w:p w14:paraId="02D77FA4" w14:textId="1173225A" w:rsidR="00DD292A" w:rsidRPr="00877ECA" w:rsidRDefault="00563224" w:rsidP="00CF2E7C">
            <w:pPr>
              <w:rPr>
                <w:rFonts w:ascii="Calibri" w:hAnsi="Calibri" w:cs="Calibri"/>
                <w:b/>
                <w:bCs/>
              </w:rPr>
            </w:pPr>
            <w:r w:rsidRPr="00877ECA">
              <w:rPr>
                <w:rFonts w:ascii="Calibri" w:hAnsi="Calibri" w:cs="Calibri"/>
                <w:b/>
                <w:bCs/>
              </w:rPr>
              <w:t>5.12</w:t>
            </w:r>
          </w:p>
        </w:tc>
        <w:tc>
          <w:tcPr>
            <w:tcW w:w="9375" w:type="dxa"/>
            <w:gridSpan w:val="7"/>
            <w:shd w:val="clear" w:color="auto" w:fill="DEEAF6" w:themeFill="accent5" w:themeFillTint="33"/>
            <w:vAlign w:val="center"/>
          </w:tcPr>
          <w:p w14:paraId="168C3C14" w14:textId="5F9F86D1" w:rsidR="00DD292A" w:rsidRPr="00374D17" w:rsidRDefault="00DD292A" w:rsidP="00CF2E7C">
            <w:pPr>
              <w:rPr>
                <w:rFonts w:ascii="Calibri" w:hAnsi="Calibri" w:cs="Calibri"/>
                <w:lang w:val="en-US"/>
              </w:rPr>
            </w:pPr>
            <w:r w:rsidRPr="00374D17">
              <w:rPr>
                <w:rFonts w:ascii="Calibri" w:hAnsi="Calibri" w:cs="Calibri"/>
                <w:lang w:val="en-US"/>
              </w:rPr>
              <w:t xml:space="preserve">If the case of mandatory rules, is there any evidence that </w:t>
            </w:r>
            <w:r w:rsidR="00500997" w:rsidRPr="00374D17">
              <w:rPr>
                <w:rFonts w:ascii="Calibri" w:hAnsi="Calibri" w:cs="Calibri"/>
                <w:lang w:val="en-US"/>
              </w:rPr>
              <w:t xml:space="preserve">the </w:t>
            </w:r>
            <w:r w:rsidR="00500997" w:rsidRPr="00374D17">
              <w:rPr>
                <w:rFonts w:ascii="Calibri" w:eastAsia="Times New Roman" w:hAnsi="Calibri" w:cs="Calibri"/>
                <w:b/>
                <w:bCs/>
                <w:color w:val="7030A0"/>
                <w:kern w:val="0"/>
                <w:lang w:val="en-US" w:eastAsia="en-GB"/>
                <w14:ligatures w14:val="none"/>
              </w:rPr>
              <w:t>policy</w:t>
            </w:r>
            <w:r w:rsidRPr="00374D17">
              <w:rPr>
                <w:rFonts w:ascii="Calibri" w:eastAsia="Times New Roman" w:hAnsi="Calibri" w:cs="Calibri"/>
                <w:b/>
                <w:color w:val="7030A0"/>
                <w:kern w:val="0"/>
                <w:lang w:val="en-US" w:eastAsia="en-GB"/>
                <w14:ligatures w14:val="none"/>
              </w:rPr>
              <w:t xml:space="preserve"> tool</w:t>
            </w:r>
            <w:r w:rsidRPr="00374D17">
              <w:rPr>
                <w:rFonts w:ascii="Calibri" w:hAnsi="Calibri" w:cs="Calibri"/>
                <w:lang w:val="en-US"/>
              </w:rPr>
              <w:t xml:space="preserve"> has ever been enforced?</w:t>
            </w:r>
          </w:p>
          <w:p w14:paraId="7BC81213" w14:textId="77777777" w:rsidR="00DD292A" w:rsidRPr="00374D17" w:rsidRDefault="00DD292A" w:rsidP="00CF2E7C">
            <w:pPr>
              <w:rPr>
                <w:rFonts w:ascii="Calibri" w:hAnsi="Calibri" w:cs="Calibri"/>
                <w:lang w:val="en-US"/>
              </w:rPr>
            </w:pPr>
            <w:r w:rsidRPr="00374D17">
              <w:rPr>
                <w:rFonts w:ascii="Calibri" w:hAnsi="Calibri" w:cs="Calibri"/>
                <w:lang w:val="en-US"/>
              </w:rPr>
              <w:t>For example, is there any evidence of regulatory disputes, sanctions, penalties for non-compliance, etc?</w:t>
            </w:r>
          </w:p>
          <w:p w14:paraId="1CE99AC4" w14:textId="456A608F" w:rsidR="00C34977" w:rsidRPr="00374D17" w:rsidRDefault="00C34977" w:rsidP="00CF2E7C">
            <w:pPr>
              <w:rPr>
                <w:rFonts w:ascii="Calibri" w:hAnsi="Calibri" w:cs="Calibri"/>
                <w:lang w:val="en-US"/>
              </w:rPr>
            </w:pPr>
            <w:r w:rsidRPr="00374D17">
              <w:rPr>
                <w:rFonts w:ascii="Calibri" w:hAnsi="Calibri" w:cs="Calibri"/>
                <w:lang w:val="en-US"/>
              </w:rPr>
              <w:t xml:space="preserve">Select the appropriate response using an X.   </w:t>
            </w:r>
          </w:p>
        </w:tc>
      </w:tr>
      <w:tr w:rsidR="00DD292A" w:rsidRPr="009C4D10" w14:paraId="432391EA" w14:textId="77777777" w:rsidTr="036DDA71">
        <w:trPr>
          <w:trHeight w:val="440"/>
        </w:trPr>
        <w:tc>
          <w:tcPr>
            <w:tcW w:w="1065" w:type="dxa"/>
            <w:vAlign w:val="center"/>
          </w:tcPr>
          <w:p w14:paraId="4C5C0929" w14:textId="4681C558" w:rsidR="00DD292A" w:rsidRPr="00877ECA" w:rsidRDefault="00563224" w:rsidP="00CF2E7C">
            <w:pPr>
              <w:rPr>
                <w:rFonts w:ascii="Calibri" w:hAnsi="Calibri" w:cs="Calibri"/>
              </w:rPr>
            </w:pPr>
            <w:r w:rsidRPr="00877ECA">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374D17" w:rsidRDefault="00DD292A" w:rsidP="00CF2E7C">
            <w:pPr>
              <w:rPr>
                <w:rFonts w:ascii="Calibri" w:hAnsi="Calibri" w:cs="Calibri"/>
                <w:lang w:val="en-US"/>
              </w:rPr>
            </w:pPr>
            <w:r w:rsidRPr="00374D17">
              <w:rPr>
                <w:rFonts w:ascii="Calibri" w:hAnsi="Calibri" w:cs="Calibri"/>
                <w:lang w:val="en-US"/>
              </w:rPr>
              <w:t>No known evidence of enforcement</w:t>
            </w:r>
          </w:p>
        </w:tc>
        <w:tc>
          <w:tcPr>
            <w:tcW w:w="4593" w:type="dxa"/>
            <w:gridSpan w:val="5"/>
            <w:shd w:val="clear" w:color="auto" w:fill="auto"/>
            <w:vAlign w:val="center"/>
          </w:tcPr>
          <w:p w14:paraId="62ADDDD1" w14:textId="2C76C4C4" w:rsidR="00DD292A" w:rsidRPr="00374D17" w:rsidRDefault="00F7526F" w:rsidP="00CF2E7C">
            <w:pPr>
              <w:rPr>
                <w:rFonts w:ascii="Calibri" w:hAnsi="Calibri" w:cs="Calibri"/>
                <w:lang w:val="en-US"/>
              </w:rPr>
            </w:pPr>
            <w:r w:rsidRPr="00374D17">
              <w:rPr>
                <w:rFonts w:ascii="Calibri" w:hAnsi="Calibri" w:cs="Calibri"/>
                <w:lang w:val="en-US"/>
              </w:rPr>
              <w:t>X</w:t>
            </w:r>
          </w:p>
        </w:tc>
      </w:tr>
      <w:tr w:rsidR="00DD292A" w:rsidRPr="009C4D10" w14:paraId="15ACEF81" w14:textId="77777777" w:rsidTr="036DDA71">
        <w:trPr>
          <w:trHeight w:val="440"/>
        </w:trPr>
        <w:tc>
          <w:tcPr>
            <w:tcW w:w="1065" w:type="dxa"/>
            <w:vAlign w:val="center"/>
          </w:tcPr>
          <w:p w14:paraId="46A19992" w14:textId="455692A0" w:rsidR="00DD292A" w:rsidRPr="00877ECA" w:rsidRDefault="00563224" w:rsidP="00CF2E7C">
            <w:pPr>
              <w:rPr>
                <w:rFonts w:ascii="Calibri" w:hAnsi="Calibri" w:cs="Calibri"/>
              </w:rPr>
            </w:pPr>
            <w:r w:rsidRPr="00877ECA">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374D17" w:rsidRDefault="00DD292A" w:rsidP="00CF2E7C">
            <w:pPr>
              <w:rPr>
                <w:rFonts w:ascii="Calibri" w:hAnsi="Calibri" w:cs="Calibri"/>
                <w:lang w:val="en-US"/>
              </w:rPr>
            </w:pPr>
            <w:r w:rsidRPr="00374D17">
              <w:rPr>
                <w:rFonts w:ascii="Calibri" w:hAnsi="Calibri" w:cs="Calibri"/>
                <w:lang w:val="en-US"/>
              </w:rPr>
              <w:t>Yes</w:t>
            </w:r>
          </w:p>
        </w:tc>
        <w:tc>
          <w:tcPr>
            <w:tcW w:w="4593" w:type="dxa"/>
            <w:gridSpan w:val="5"/>
            <w:shd w:val="clear" w:color="auto" w:fill="auto"/>
            <w:vAlign w:val="center"/>
          </w:tcPr>
          <w:p w14:paraId="080A7EBE" w14:textId="77777777" w:rsidR="00DD292A" w:rsidRPr="00374D17" w:rsidRDefault="00DD292A" w:rsidP="00CF2E7C">
            <w:pPr>
              <w:rPr>
                <w:rFonts w:ascii="Calibri" w:hAnsi="Calibri" w:cs="Calibri"/>
                <w:lang w:val="en-US"/>
              </w:rPr>
            </w:pPr>
          </w:p>
        </w:tc>
      </w:tr>
      <w:tr w:rsidR="00DD292A" w:rsidRPr="009C4D10" w14:paraId="3B956FFD" w14:textId="77777777" w:rsidTr="036DDA71">
        <w:trPr>
          <w:trHeight w:val="1160"/>
        </w:trPr>
        <w:tc>
          <w:tcPr>
            <w:tcW w:w="1065" w:type="dxa"/>
            <w:shd w:val="clear" w:color="auto" w:fill="auto"/>
            <w:vAlign w:val="center"/>
          </w:tcPr>
          <w:p w14:paraId="266CEF59" w14:textId="4BC9D0CE" w:rsidR="00DD292A" w:rsidRPr="00877ECA" w:rsidRDefault="00563224" w:rsidP="00CF2E7C">
            <w:pPr>
              <w:rPr>
                <w:rFonts w:ascii="Calibri" w:hAnsi="Calibri" w:cs="Calibri"/>
                <w:b/>
                <w:bCs/>
              </w:rPr>
            </w:pPr>
            <w:r w:rsidRPr="00877ECA">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374D17" w:rsidRDefault="00DD292A" w:rsidP="00CF2E7C">
            <w:pPr>
              <w:rPr>
                <w:rFonts w:ascii="Calibri" w:hAnsi="Calibri" w:cs="Calibri"/>
                <w:lang w:val="en-US"/>
              </w:rPr>
            </w:pPr>
            <w:r w:rsidRPr="00374D17">
              <w:rPr>
                <w:rFonts w:ascii="Calibri" w:hAnsi="Calibri" w:cs="Calibri"/>
                <w:lang w:val="en-US"/>
              </w:rPr>
              <w:t>Briefly explain your answer to Q</w:t>
            </w:r>
            <w:r w:rsidR="00563224" w:rsidRPr="00374D17">
              <w:rPr>
                <w:rFonts w:ascii="Calibri" w:hAnsi="Calibri" w:cs="Calibri"/>
                <w:lang w:val="en-US"/>
              </w:rPr>
              <w:t>5.12</w:t>
            </w:r>
            <w:r w:rsidRPr="00374D17">
              <w:rPr>
                <w:rFonts w:ascii="Calibri" w:hAnsi="Calibri" w:cs="Calibri"/>
                <w:lang w:val="en-US"/>
              </w:rPr>
              <w:t xml:space="preserve">, noting one to two exemplary cases of enforcement if relevant. If referencing </w:t>
            </w:r>
            <w:r w:rsidRPr="00374D17">
              <w:rPr>
                <w:rFonts w:ascii="Calibri" w:hAnsi="Calibri" w:cs="Calibri"/>
                <w:b/>
                <w:bCs/>
                <w:lang w:val="en-US"/>
              </w:rPr>
              <w:t xml:space="preserve">new sources, </w:t>
            </w:r>
            <w:r w:rsidRPr="00374D17">
              <w:rPr>
                <w:rFonts w:ascii="Calibri" w:hAnsi="Calibri" w:cs="Calibri"/>
                <w:lang w:val="en-US"/>
              </w:rPr>
              <w:t xml:space="preserve">please provide a </w:t>
            </w:r>
            <w:r w:rsidRPr="00374D17">
              <w:rPr>
                <w:rFonts w:ascii="Calibri" w:hAnsi="Calibri" w:cs="Calibri"/>
                <w:b/>
                <w:color w:val="7030A0"/>
                <w:lang w:val="en-US"/>
              </w:rPr>
              <w:t>web-archived link</w:t>
            </w:r>
            <w:r w:rsidRPr="00374D17">
              <w:rPr>
                <w:rFonts w:ascii="Calibri" w:hAnsi="Calibri" w:cs="Calibri"/>
                <w:color w:val="7030A0"/>
                <w:lang w:val="en-US"/>
              </w:rPr>
              <w:t xml:space="preserve"> </w:t>
            </w:r>
            <w:r w:rsidRPr="00374D17">
              <w:rPr>
                <w:rFonts w:ascii="Calibri" w:hAnsi="Calibri" w:cs="Calibri"/>
                <w:lang w:val="en-US"/>
              </w:rPr>
              <w:t>to the source material.</w:t>
            </w:r>
          </w:p>
        </w:tc>
      </w:tr>
      <w:tr w:rsidR="00DD292A" w:rsidRPr="009C4D10" w14:paraId="1000B0B8" w14:textId="77777777" w:rsidTr="036DDA71">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6FF07458" w:rsidR="00DD292A" w:rsidRPr="00374D17" w:rsidRDefault="00374D17" w:rsidP="00374D17">
            <w:pPr>
              <w:jc w:val="both"/>
              <w:rPr>
                <w:rFonts w:ascii="Calibri" w:hAnsi="Calibri" w:cs="Calibri"/>
                <w:lang w:val="en-US"/>
              </w:rPr>
            </w:pPr>
            <w:r w:rsidRPr="00374D17">
              <w:rPr>
                <w:rFonts w:ascii="Calibri" w:hAnsi="Calibri" w:cs="Calibri"/>
                <w:lang w:val="en-US"/>
              </w:rPr>
              <w:t xml:space="preserve">Although the Guideline sets out mandatory principles that banks are required to follow, it does not include any explicit enforcement or sanction mechanisms within the policy tool itself. </w:t>
            </w:r>
            <w:r w:rsidR="00563DC7" w:rsidRPr="00374D17">
              <w:rPr>
                <w:rFonts w:ascii="Calibri" w:hAnsi="Calibri" w:cs="Calibri"/>
                <w:lang w:val="en-US"/>
              </w:rPr>
              <w:t>Accordingly</w:t>
            </w:r>
            <w:r w:rsidR="00563DC7">
              <w:rPr>
                <w:rFonts w:ascii="Calibri" w:hAnsi="Calibri" w:cs="Calibri"/>
                <w:lang w:val="en-US"/>
              </w:rPr>
              <w:t>,</w:t>
            </w:r>
            <w:r w:rsidRPr="00374D17">
              <w:rPr>
                <w:rFonts w:ascii="Calibri" w:hAnsi="Calibri" w:cs="Calibri"/>
                <w:lang w:val="en-US"/>
              </w:rPr>
              <w:t xml:space="preserve"> there is no publicly available evidence</w:t>
            </w:r>
            <w:r>
              <w:rPr>
                <w:rFonts w:ascii="Calibri" w:hAnsi="Calibri" w:cs="Calibri"/>
                <w:lang w:val="en-US"/>
              </w:rPr>
              <w:t xml:space="preserve">, </w:t>
            </w:r>
            <w:r w:rsidRPr="00374D17">
              <w:rPr>
                <w:rFonts w:ascii="Calibri" w:hAnsi="Calibri" w:cs="Calibri"/>
                <w:lang w:val="en-US"/>
              </w:rPr>
              <w:t>such as Board decisions or enforcement cases</w:t>
            </w:r>
            <w:r>
              <w:rPr>
                <w:rFonts w:ascii="Calibri" w:hAnsi="Calibri" w:cs="Calibri"/>
                <w:lang w:val="en-US"/>
              </w:rPr>
              <w:t xml:space="preserve">, </w:t>
            </w:r>
            <w:r w:rsidRPr="00374D17">
              <w:rPr>
                <w:rFonts w:ascii="Calibri" w:hAnsi="Calibri" w:cs="Calibri"/>
                <w:lang w:val="en-US"/>
              </w:rPr>
              <w:t>indicating that the guideline has been the subject of regulatory action to date.</w:t>
            </w:r>
          </w:p>
        </w:tc>
      </w:tr>
      <w:tr w:rsidR="00DD292A" w:rsidRPr="009C4D10" w14:paraId="1993D475" w14:textId="77777777" w:rsidTr="036DDA71">
        <w:trPr>
          <w:trHeight w:val="1070"/>
        </w:trPr>
        <w:tc>
          <w:tcPr>
            <w:tcW w:w="1065" w:type="dxa"/>
            <w:shd w:val="clear" w:color="auto" w:fill="auto"/>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36DDA71">
        <w:trPr>
          <w:trHeight w:val="440"/>
        </w:trPr>
        <w:tc>
          <w:tcPr>
            <w:tcW w:w="1065" w:type="dxa"/>
            <w:shd w:val="clear" w:color="auto" w:fill="auto"/>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80F2FC4" w:rsidR="00DD292A" w:rsidRPr="00CF2E7C" w:rsidRDefault="00500997" w:rsidP="00A7556C">
            <w:pPr>
              <w:jc w:val="both"/>
              <w:rPr>
                <w:rFonts w:ascii="Calibri" w:hAnsi="Calibri" w:cs="Calibri"/>
              </w:rPr>
            </w:pPr>
            <w:r>
              <w:rPr>
                <w:rFonts w:ascii="Calibri" w:hAnsi="Calibri" w:cs="Calibri"/>
              </w:rPr>
              <w:t>X</w:t>
            </w:r>
          </w:p>
        </w:tc>
      </w:tr>
      <w:tr w:rsidR="00DD292A" w:rsidRPr="009C4D10" w14:paraId="3BEDB650" w14:textId="77777777" w:rsidTr="036DDA71">
        <w:trPr>
          <w:trHeight w:val="350"/>
        </w:trPr>
        <w:tc>
          <w:tcPr>
            <w:tcW w:w="1065" w:type="dxa"/>
            <w:shd w:val="clear" w:color="auto" w:fill="auto"/>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36DDA71">
        <w:trPr>
          <w:trHeight w:val="766"/>
        </w:trPr>
        <w:tc>
          <w:tcPr>
            <w:tcW w:w="1065" w:type="dxa"/>
            <w:shd w:val="clear" w:color="auto" w:fill="auto"/>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C06950" w14:paraId="371169EF" w14:textId="77777777" w:rsidTr="036DDA71">
        <w:trPr>
          <w:trHeight w:val="1020"/>
        </w:trPr>
        <w:tc>
          <w:tcPr>
            <w:tcW w:w="1065" w:type="dxa"/>
            <w:vAlign w:val="center"/>
          </w:tcPr>
          <w:p w14:paraId="6C4F3A9E" w14:textId="77777777" w:rsidR="00DD292A" w:rsidRPr="00C06950" w:rsidRDefault="00DD292A" w:rsidP="00CF2E7C">
            <w:pPr>
              <w:rPr>
                <w:rFonts w:ascii="Calibri" w:hAnsi="Calibri" w:cs="Calibri"/>
                <w:lang w:val="en-US"/>
              </w:rPr>
            </w:pPr>
          </w:p>
        </w:tc>
        <w:tc>
          <w:tcPr>
            <w:tcW w:w="9375" w:type="dxa"/>
            <w:gridSpan w:val="7"/>
            <w:shd w:val="clear" w:color="auto" w:fill="auto"/>
            <w:vAlign w:val="center"/>
          </w:tcPr>
          <w:p w14:paraId="3688BEED" w14:textId="2E6E8F31" w:rsidR="00DD292A" w:rsidRPr="00C06950" w:rsidRDefault="00C06950" w:rsidP="00C06950">
            <w:pPr>
              <w:jc w:val="both"/>
              <w:rPr>
                <w:rFonts w:ascii="Calibri" w:hAnsi="Calibri" w:cs="Calibri"/>
                <w:lang w:val="en-US"/>
              </w:rPr>
            </w:pPr>
            <w:r w:rsidRPr="00C06950">
              <w:rPr>
                <w:rFonts w:ascii="Calibri" w:hAnsi="Calibri" w:cs="Calibri"/>
                <w:lang w:val="en-US"/>
              </w:rPr>
              <w:t>The Guideline has not been the subject of any litigation specifically related to the mitigation of environmental or climate-related risks. To our knowledge, there are no known legal challenges or court cases in which the Guideline has been cited or contested in this regard.</w:t>
            </w:r>
          </w:p>
        </w:tc>
      </w:tr>
    </w:tbl>
    <w:p w14:paraId="4BA540EF" w14:textId="77777777" w:rsidR="00FE66B1" w:rsidRPr="00C06950" w:rsidRDefault="00FE66B1" w:rsidP="00FE66B1">
      <w:pPr>
        <w:rPr>
          <w:rFonts w:eastAsiaTheme="majorEastAsia" w:cstheme="minorHAnsi"/>
          <w:lang w:val="en-US"/>
        </w:rPr>
      </w:pPr>
    </w:p>
    <w:p w14:paraId="65671900" w14:textId="3A802FA7" w:rsidR="00FE66B1" w:rsidRPr="00FE66B1" w:rsidRDefault="00455E1B" w:rsidP="00FE66B1">
      <w:pPr>
        <w:pStyle w:val="Balk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5"/>
        <w:gridCol w:w="4681"/>
        <w:gridCol w:w="1080"/>
        <w:gridCol w:w="450"/>
        <w:gridCol w:w="1890"/>
        <w:gridCol w:w="1266"/>
      </w:tblGrid>
      <w:tr w:rsidR="009E1E61" w:rsidRPr="009C4D10" w14:paraId="237A4EF9" w14:textId="77777777" w:rsidTr="036DDA71">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3B3A18" w:rsidRPr="009C4D10" w14:paraId="613F444C"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2F08225E"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28E96A9" w:rsidR="00410853" w:rsidRPr="00CF2E7C" w:rsidRDefault="00A7556C" w:rsidP="00A7556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63A7D3EB"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3B3A18" w:rsidRPr="009C4D10" w14:paraId="5104EAC6"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3B3A18" w:rsidRPr="009C4D10" w14:paraId="6C47F160"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3B3A18" w:rsidRPr="009C4D10" w14:paraId="54335802"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3B3A18" w:rsidRPr="009C4D10" w14:paraId="518CE51E"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B3A18" w:rsidRPr="009C4D10" w14:paraId="6EEA86FD"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FB26D51" w:rsidR="00F632FB" w:rsidRPr="00CF2E7C" w:rsidRDefault="00EB02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5F04D004"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B5B107E" w:rsidR="00EB023B" w:rsidRPr="00CF2E7C" w:rsidRDefault="00EB023B" w:rsidP="00EB023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49947053"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F94A144" w:rsidR="00EB023B" w:rsidRPr="00CF2E7C" w:rsidRDefault="00EB023B" w:rsidP="00EB023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6B81EF91"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EB023B" w:rsidRPr="00CF2E7C" w:rsidRDefault="00EB023B" w:rsidP="00EB02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3FB9256" w:rsidR="00EB023B" w:rsidRPr="00CF2E7C" w:rsidRDefault="00EB023B" w:rsidP="00EB023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4FCE513A"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B3A18" w:rsidRPr="009C4D10" w14:paraId="7517CB05"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5305CF7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5305CF70" w:rsidP="036DDA71">
            <w:pPr>
              <w:textAlignment w:val="baseline"/>
              <w:rPr>
                <w:rFonts w:ascii="Calibri" w:eastAsia="Times New Roman" w:hAnsi="Calibri" w:cs="Calibri"/>
                <w:b/>
                <w:bCs/>
                <w:kern w:val="0"/>
                <w:lang w:eastAsia="en-GB"/>
                <w14:ligatures w14:val="none"/>
              </w:rPr>
            </w:pPr>
            <w:r w:rsidRPr="036DDA71">
              <w:rPr>
                <w:rFonts w:ascii="Calibri" w:eastAsia="Times New Roman" w:hAnsi="Calibri" w:cs="Calibri"/>
                <w:b/>
                <w:bCs/>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B5C31C8" w:rsidR="008C4722" w:rsidRPr="00CF2E7C" w:rsidRDefault="007052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4875314C"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8A71DA8" w:rsidR="008C4722" w:rsidRPr="00CF2E7C" w:rsidRDefault="00B81E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663031F7"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E298E5E" w:rsidR="008C4722" w:rsidRPr="00CF2E7C" w:rsidRDefault="00B81E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30F53F46"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3B3A18" w:rsidRPr="009C4D10" w14:paraId="2B5CE5B2"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13290412" w:rsidR="008C4722" w:rsidRPr="00CF2E7C" w:rsidRDefault="007052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3B3A18" w:rsidRPr="009C4D10" w14:paraId="741FAFA6"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5305CF7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36DDA71">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36DDA71">
              <w:rPr>
                <w:rFonts w:ascii="Calibri" w:eastAsia="Times New Roman" w:hAnsi="Calibri" w:cs="Calibri"/>
                <w:b/>
                <w:bCs/>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36DDA71">
              <w:rPr>
                <w:rFonts w:ascii="Calibri" w:hAnsi="Calibri" w:cs="Calibri"/>
                <w:b/>
                <w:bCs/>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36DDA71">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36DDA71">
        <w:trPr>
          <w:trHeight w:val="102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F131D6" w14:textId="77777777" w:rsidR="008C4722" w:rsidRDefault="00050ED5" w:rsidP="00050ED5">
            <w:pPr>
              <w:jc w:val="both"/>
              <w:textAlignment w:val="baseline"/>
              <w:rPr>
                <w:rFonts w:ascii="Calibri" w:eastAsia="Times New Roman" w:hAnsi="Calibri" w:cs="Calibri"/>
                <w:kern w:val="0"/>
                <w:lang w:eastAsia="en-GB"/>
                <w14:ligatures w14:val="none"/>
              </w:rPr>
            </w:pPr>
            <w:r w:rsidRPr="00050ED5">
              <w:rPr>
                <w:rFonts w:ascii="Calibri" w:eastAsia="Times New Roman" w:hAnsi="Calibri" w:cs="Calibri"/>
                <w:kern w:val="0"/>
                <w:lang w:eastAsia="en-GB"/>
                <w14:ligatures w14:val="none"/>
              </w:rPr>
              <w:t>The Guideline addresses climate-related financial risks by requiring banks to embed environmental, social, and governance (ESG) factors into their credit risk culture, governance frameworks, and strategic policies. Section 2.1.2 highlights the need for a strong credit risk culture that integrates ESG considerations, including the potential impacts of environmental and climate-related factors, into lending decisions and the evaluation of a credit’s effect on the bank’s capital position, profitability, and long-term sustainability. Section 2.3.5 further emphasize that banks consider ESG-related risks into their risk appetite frameworks and credit risk policies, with explicit reference to transition risks (e.g., those arising from the shift to a low-carbon economy, legal changes, or evolving customer preferences). Section 2.3.6 reinforces that ESG risks must be an integral part of internal strategies and policy development processes, ensuring that governance structures are aligned with these risk considerations.</w:t>
            </w:r>
            <w:r w:rsidR="00B44D60">
              <w:t xml:space="preserve"> </w:t>
            </w:r>
            <w:r w:rsidR="00B44D60" w:rsidRPr="00B44D60">
              <w:rPr>
                <w:rFonts w:ascii="Calibri" w:eastAsia="Times New Roman" w:hAnsi="Calibri" w:cs="Calibri"/>
                <w:kern w:val="0"/>
                <w:lang w:eastAsia="en-GB"/>
                <w14:ligatures w14:val="none"/>
              </w:rPr>
              <w:t>While the Guideline does not explicitly outline the prevention or mitigation of climate-related risks, nor prescribe a specific organizational plan in this regard, it implicitly supports the management of such risks by incorporating broader ESG criteria into credit risk assessment, monitoring, and governance mechanisms.</w:t>
            </w:r>
          </w:p>
          <w:p w14:paraId="39FC6AFA" w14:textId="2B62C34C" w:rsidR="00BF6D51" w:rsidRPr="00CF2E7C" w:rsidRDefault="00155DE2" w:rsidP="00050ED5">
            <w:pPr>
              <w:jc w:val="both"/>
              <w:textAlignment w:val="baseline"/>
              <w:rPr>
                <w:rFonts w:ascii="Calibri" w:eastAsia="Times New Roman" w:hAnsi="Calibri" w:cs="Calibri"/>
                <w:kern w:val="0"/>
                <w:lang w:eastAsia="en-GB"/>
                <w14:ligatures w14:val="none"/>
              </w:rPr>
            </w:pPr>
            <w:r w:rsidRPr="00155DE2">
              <w:rPr>
                <w:rFonts w:ascii="Calibri" w:eastAsia="Times New Roman" w:hAnsi="Calibri" w:cs="Calibri"/>
                <w:kern w:val="0"/>
                <w:lang w:eastAsia="en-GB"/>
                <w14:ligatures w14:val="none"/>
              </w:rPr>
              <w:t>Furthermore, as per Article 41 of the Guideline, banks are required to consider environmental factors and the potential impacts of climate change in their credit risk policies. Climate change-related risks to the financial performance of borrowers may primarily arise as either physical risks, such as those stemming from the physical effects of climate change, including liability risks related to contributing to climate change, or transition risks, such as those emerging from the shift towards a low-carbon and climate-resilient economy.</w:t>
            </w:r>
          </w:p>
        </w:tc>
      </w:tr>
      <w:tr w:rsidR="003B3A18" w:rsidRPr="009C4D10" w14:paraId="71CCB51A"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5305CF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65B01EC4"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3B3A18" w:rsidRPr="009C4D10" w14:paraId="77D56466"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38092ECC" w:rsidR="008C4722" w:rsidRPr="00CF2E7C" w:rsidRDefault="00AC6F52" w:rsidP="008B61EC">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r w:rsidR="00D14CB1">
              <w:rPr>
                <w:rFonts w:ascii="Calibri" w:eastAsia="Times New Roman" w:hAnsi="Calibri" w:cs="Calibri"/>
                <w:kern w:val="0"/>
                <w:lang w:eastAsia="en-GB"/>
                <w14:ligatures w14:val="none"/>
              </w:rPr>
              <w:t xml:space="preserve"> (not explicitly referenced but aligned with P2)</w:t>
            </w:r>
          </w:p>
        </w:tc>
      </w:tr>
      <w:tr w:rsidR="003B3A18" w:rsidRPr="009C4D10" w14:paraId="280C20ED"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3B3A18" w:rsidRPr="009C4D10" w14:paraId="0520D450"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1"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3B3A18" w:rsidRPr="009C4D10" w14:paraId="03563184"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6D4A667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5305CF7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6D4A6678"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6D4A6678"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36DDA71">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36DDA71">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36DDA71">
        <w:trPr>
          <w:trHeight w:val="102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266C6DC2" w:rsidR="008C4722" w:rsidRPr="00CF2E7C" w:rsidRDefault="0087515D" w:rsidP="00866133">
            <w:pPr>
              <w:jc w:val="both"/>
              <w:textAlignment w:val="baseline"/>
              <w:rPr>
                <w:rFonts w:ascii="Calibri" w:eastAsia="Times New Roman" w:hAnsi="Calibri" w:cs="Calibri"/>
                <w:kern w:val="0"/>
                <w:lang w:eastAsia="en-GB"/>
                <w14:ligatures w14:val="none"/>
              </w:rPr>
            </w:pPr>
            <w:r w:rsidRPr="0087515D">
              <w:rPr>
                <w:rFonts w:ascii="Calibri" w:eastAsia="Times New Roman" w:hAnsi="Calibri" w:cs="Calibri"/>
                <w:kern w:val="0"/>
                <w:lang w:eastAsia="en-GB"/>
                <w14:ligatures w14:val="none"/>
              </w:rPr>
              <w:t>This policy tool partly aligns with several of the Basel Committee’s Pillar 2 principles on climate-related financial risks, though they do not reference them explicitly. The guideline supports governance expectations by requiring the integration of ESG and climate risks into banks’ credit strategies and oversight. In particular, sections 2.3.5 and 2.3.6 require banks to incorporate ESG risks into their credit risk appetite policies and governance structures. It also addresses internal control systems, ensuring climate-related risks are covered under risk governance. Section 2.1.2 emphasizes the establishment of a strong credit risk culture, led by senior management, in which ESG factors are integrated into credit allocation decisions. These provisions enable banks to effectively identify, assess and manage climate-related risks without being limited to minimum capital requirements. Additionally, the guideline reflects risk management expectations by requiring banks to incorporate ESG and climate risks into their credit risk appetite, policies, and borrower assessments. The policy instrument thus supports supervisory review processes under the Second Pillar of the BCBS framework.</w:t>
            </w:r>
          </w:p>
        </w:tc>
      </w:tr>
      <w:tr w:rsidR="003B3A18" w:rsidRPr="009C4D10" w14:paraId="02E1440C"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3B48D9E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3B3A18" w:rsidRPr="009C4D10" w14:paraId="0FD546AD"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67FD1DA1" w:rsidR="007B7DEE" w:rsidRPr="00CF2E7C" w:rsidRDefault="007B7DEE" w:rsidP="00CF2E7C">
            <w:pPr>
              <w:textAlignment w:val="baseline"/>
              <w:rPr>
                <w:rFonts w:ascii="Calibri" w:eastAsia="Times New Roman" w:hAnsi="Calibri" w:cs="Calibri"/>
                <w:kern w:val="0"/>
                <w:lang w:eastAsia="en-GB"/>
                <w14:ligatures w14:val="none"/>
              </w:rPr>
            </w:pPr>
          </w:p>
        </w:tc>
      </w:tr>
      <w:tr w:rsidR="003B3A18" w:rsidRPr="009C4D10" w14:paraId="7E225A63"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C56EEE8" w:rsidR="007B7DEE" w:rsidRPr="00CF2E7C" w:rsidRDefault="009100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5C30E698"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3B3A18" w:rsidRPr="009C4D10" w14:paraId="6FF1185E"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36DDA71">
        <w:trPr>
          <w:trHeight w:val="102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3B3A18" w:rsidRPr="009C4D10" w14:paraId="5E976859"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3B3A18" w:rsidRPr="009C4D10" w14:paraId="737B9012"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3B3A18" w:rsidRPr="009C4D10" w14:paraId="42341813"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3B3A18" w:rsidRPr="009C4D10" w14:paraId="3D639E87"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44AE638" w:rsidR="00ED7E12" w:rsidRPr="00CF2E7C" w:rsidRDefault="00A476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090D32D9"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3B3A18" w:rsidRPr="009C4D10" w14:paraId="136797A0"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3B3A18" w:rsidRPr="009C4D10" w14:paraId="32A52054" w14:textId="77777777" w:rsidTr="036DDA71">
        <w:trPr>
          <w:trHeight w:val="30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7"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36DDA71">
        <w:trPr>
          <w:trHeight w:val="1020"/>
        </w:trPr>
        <w:tc>
          <w:tcPr>
            <w:tcW w:w="10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7"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0BECDC1" w:rsidR="00ED7E12" w:rsidRPr="00CF2E7C" w:rsidRDefault="5B10B9F7" w:rsidP="00A4761E">
            <w:pPr>
              <w:jc w:val="both"/>
              <w:textAlignment w:val="baseline"/>
              <w:rPr>
                <w:rFonts w:ascii="Calibri" w:eastAsia="Times New Roman" w:hAnsi="Calibri" w:cs="Calibri"/>
                <w:kern w:val="0"/>
                <w:lang w:eastAsia="en-GB"/>
                <w14:ligatures w14:val="none"/>
              </w:rPr>
            </w:pPr>
            <w:r w:rsidRPr="0015337A">
              <w:rPr>
                <w:rFonts w:ascii="Calibri" w:eastAsia="Times New Roman" w:hAnsi="Calibri" w:cs="Calibri"/>
                <w:kern w:val="0"/>
                <w:lang w:eastAsia="en-GB"/>
                <w14:ligatures w14:val="none"/>
              </w:rPr>
              <w:t>Compliance with the obligations set forth in the Guideline is ensured through regulatory oversight conducted by the financial supervisory authority, the</w:t>
            </w:r>
            <w:r w:rsidR="311DE3C8" w:rsidRPr="0015337A">
              <w:rPr>
                <w:rFonts w:ascii="Calibri" w:eastAsia="Times New Roman" w:hAnsi="Calibri" w:cs="Calibri"/>
                <w:kern w:val="0"/>
                <w:lang w:eastAsia="en-GB"/>
                <w14:ligatures w14:val="none"/>
              </w:rPr>
              <w:t xml:space="preserve"> </w:t>
            </w:r>
            <w:r w:rsidRPr="0015337A">
              <w:rPr>
                <w:rFonts w:ascii="Calibri" w:eastAsia="Times New Roman" w:hAnsi="Calibri" w:cs="Calibri"/>
                <w:kern w:val="0"/>
                <w:lang w:eastAsia="en-GB"/>
                <w14:ligatures w14:val="none"/>
              </w:rPr>
              <w:t xml:space="preserve">BRSA. While the Guideline does not establish a dedicated reporting or verification mechanism, Article 95 of the Law grants the BRSA the authority to conduct both on-site and off-site supervision of banks. In this context, the </w:t>
            </w:r>
            <w:r w:rsidRPr="0015337A">
              <w:rPr>
                <w:rFonts w:ascii="Calibri" w:eastAsia="Times New Roman" w:hAnsi="Calibri" w:cs="Calibri"/>
                <w:kern w:val="0"/>
                <w:lang w:eastAsia="en-GB"/>
                <w14:ligatures w14:val="none"/>
              </w:rPr>
              <w:lastRenderedPageBreak/>
              <w:t>BRSA may examine banks’ internal policies, procedures, and practices related to environmental and social risks as part of its supervisory activities. Although the Guideline does not include explicit provisions for third-party verification or specific self-reporting by banks, the BRSA’s supervisory authority serves as the primary mechanism for monitoring compliance.</w:t>
            </w:r>
            <w:r w:rsidR="39AD42DE">
              <w:t xml:space="preserve"> </w:t>
            </w:r>
            <w:r w:rsidR="39AD42DE" w:rsidRPr="00A4761E">
              <w:rPr>
                <w:rFonts w:ascii="Calibri" w:eastAsia="Times New Roman" w:hAnsi="Calibri" w:cs="Calibri"/>
                <w:kern w:val="0"/>
                <w:lang w:eastAsia="en-GB"/>
                <w14:ligatures w14:val="none"/>
              </w:rPr>
              <w:t>When considered together with the Law, the BRSA will also review banks' internal activity reports provided to the senior management.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36DDA71">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3B3A18" w:rsidRPr="009C4D10" w14:paraId="293B6A16"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2140C84B"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3B3A18" w:rsidRPr="009C4D10" w14:paraId="4C7DF936"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198B967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E114065">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73E5866B"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2147D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65037">
              <w:rPr>
                <w:rFonts w:ascii="Calibri" w:eastAsia="Times New Roman" w:hAnsi="Calibri" w:cs="Calibri"/>
                <w:kern w:val="0"/>
                <w:lang w:eastAsia="en-GB"/>
                <w14:ligatures w14:val="none"/>
              </w:rPr>
              <w:t>X</w:t>
            </w:r>
          </w:p>
        </w:tc>
      </w:tr>
      <w:tr w:rsidR="003B3A18" w:rsidRPr="009C4D10" w14:paraId="045282B9"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712086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6503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7A79BD9F"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FE59A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173DF">
              <w:rPr>
                <w:rFonts w:ascii="Calibri" w:eastAsia="Times New Roman" w:hAnsi="Calibri" w:cs="Calibri"/>
                <w:kern w:val="0"/>
                <w:lang w:eastAsia="en-GB"/>
                <w14:ligatures w14:val="none"/>
              </w:rPr>
              <w:t>X</w:t>
            </w:r>
          </w:p>
        </w:tc>
      </w:tr>
      <w:tr w:rsidR="003B3A18" w:rsidRPr="009C4D10" w14:paraId="3AF695D3"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671A4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173DF">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2FD170EE"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00AED2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173DF">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16C49E76"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51AC88DF"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36DDA7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3B3A18" w:rsidRPr="009C4D10" w14:paraId="21609321"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3B3A18" w:rsidRPr="009C4D10" w14:paraId="44689CDB"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3B3A18" w:rsidRPr="009C4D10" w14:paraId="0F31E8F7"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3B3A18" w:rsidRPr="009C4D10" w14:paraId="2A201787"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A723875" w:rsidR="00C82860" w:rsidRPr="00CF2E7C" w:rsidRDefault="004B01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0D83FE3F"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36DDA7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3B3A18" w:rsidRPr="009C4D10" w14:paraId="032D4189"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14F9361B"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DE912CA" w:rsidR="00C82860" w:rsidRPr="00CF2E7C" w:rsidRDefault="006A61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B3A18" w:rsidRPr="009C4D10" w14:paraId="49043E9E"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3B3A18" w:rsidRPr="009C4D10" w14:paraId="470E2DDD"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3B3A18" w:rsidRPr="009C4D10" w14:paraId="6FE150F9"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36DDA7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147B7135" w:rsidR="00C82860" w:rsidRPr="00CF2E7C" w:rsidRDefault="00D61D8F" w:rsidP="00D61D8F">
            <w:pPr>
              <w:jc w:val="both"/>
              <w:textAlignment w:val="baseline"/>
              <w:rPr>
                <w:rFonts w:ascii="Calibri" w:eastAsia="Times New Roman" w:hAnsi="Calibri" w:cs="Calibri"/>
                <w:kern w:val="0"/>
                <w:lang w:eastAsia="en-GB"/>
                <w14:ligatures w14:val="none"/>
              </w:rPr>
            </w:pPr>
            <w:r w:rsidRPr="00D61D8F">
              <w:rPr>
                <w:rFonts w:ascii="Calibri" w:eastAsia="Times New Roman" w:hAnsi="Calibri" w:cs="Calibri"/>
                <w:kern w:val="0"/>
                <w:lang w:eastAsia="en-GB"/>
                <w14:ligatures w14:val="none"/>
              </w:rPr>
              <w:t>The policy tool requires a climate-risk assessment to be incorporated into the due diligence process for new clients and transactions. As per the Section 2.3.5 of the Guideline, banks must consider ESG-related factors, including climate-related transition risks, when evaluating the financial condition of borrowers. This includes assessing the potential impact of climate change on borrowers’ financial performance and creditworthiness. Therefore, the integration of climate risks into client and transaction-level due diligence is mandatory as part of broader credit risk assessment obligations.</w:t>
            </w:r>
          </w:p>
        </w:tc>
      </w:tr>
      <w:tr w:rsidR="003B3A18" w:rsidRPr="009C4D10" w14:paraId="64706D6E"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08407D91"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3B3A18" w:rsidRPr="009C4D10" w14:paraId="5B4EFD55"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F41B98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860822">
              <w:rPr>
                <w:rFonts w:ascii="Calibri" w:eastAsia="Times New Roman" w:hAnsi="Calibri" w:cs="Calibri"/>
                <w:kern w:val="0"/>
                <w:lang w:val="en-SG" w:eastAsia="en-GB"/>
                <w14:ligatures w14:val="none"/>
              </w:rPr>
              <w:t>X</w:t>
            </w:r>
          </w:p>
        </w:tc>
      </w:tr>
      <w:tr w:rsidR="003B3A18" w:rsidRPr="009C4D10" w14:paraId="1B7CF6B6"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860822" w:rsidRPr="00CF2E7C" w:rsidRDefault="00860822" w:rsidP="00860822">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35769A7" w14:textId="3E922AA3" w:rsidR="00860822" w:rsidRPr="00CF2E7C" w:rsidRDefault="00860822" w:rsidP="00860822">
            <w:pPr>
              <w:textAlignment w:val="baseline"/>
              <w:rPr>
                <w:rFonts w:ascii="Calibri" w:eastAsia="Times New Roman" w:hAnsi="Calibri" w:cs="Calibri"/>
                <w:kern w:val="0"/>
                <w:lang w:eastAsia="en-GB"/>
                <w14:ligatures w14:val="none"/>
              </w:rPr>
            </w:pPr>
            <w:r w:rsidRPr="00B55ECA">
              <w:rPr>
                <w:rFonts w:ascii="Calibri" w:eastAsia="Times New Roman" w:hAnsi="Calibri" w:cs="Calibri"/>
                <w:kern w:val="0"/>
                <w:lang w:val="en-SG" w:eastAsia="en-GB"/>
                <w14:ligatures w14:val="none"/>
              </w:rPr>
              <w:t> X</w:t>
            </w:r>
          </w:p>
        </w:tc>
      </w:tr>
      <w:tr w:rsidR="003B3A18" w:rsidRPr="009C4D10" w14:paraId="26AD2862"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059E5846" w14:textId="5C98B5E8" w:rsidR="00860822" w:rsidRPr="00CF2E7C" w:rsidRDefault="00860822" w:rsidP="00860822">
            <w:pPr>
              <w:textAlignment w:val="baseline"/>
              <w:rPr>
                <w:rFonts w:ascii="Calibri" w:eastAsia="Times New Roman" w:hAnsi="Calibri" w:cs="Calibri"/>
                <w:kern w:val="0"/>
                <w:lang w:eastAsia="en-GB"/>
                <w14:ligatures w14:val="none"/>
              </w:rPr>
            </w:pPr>
            <w:r w:rsidRPr="00B55ECA">
              <w:rPr>
                <w:rFonts w:ascii="Calibri" w:eastAsia="Times New Roman" w:hAnsi="Calibri" w:cs="Calibri"/>
                <w:kern w:val="0"/>
                <w:lang w:val="en-SG" w:eastAsia="en-GB"/>
                <w14:ligatures w14:val="none"/>
              </w:rPr>
              <w:t> X</w:t>
            </w:r>
          </w:p>
        </w:tc>
      </w:tr>
      <w:tr w:rsidR="003B3A18" w:rsidRPr="009C4D10" w14:paraId="66EF45D2"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860822" w:rsidRPr="00CF2E7C" w:rsidRDefault="00860822" w:rsidP="0086082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hideMark/>
          </w:tcPr>
          <w:p w14:paraId="10995F72" w14:textId="0D3E6D10" w:rsidR="00860822" w:rsidRPr="00CF2E7C" w:rsidRDefault="00860822" w:rsidP="00860822">
            <w:pPr>
              <w:textAlignment w:val="baseline"/>
              <w:rPr>
                <w:rFonts w:ascii="Calibri" w:eastAsia="Times New Roman" w:hAnsi="Calibri" w:cs="Calibri"/>
                <w:kern w:val="0"/>
                <w:lang w:eastAsia="en-GB"/>
                <w14:ligatures w14:val="none"/>
              </w:rPr>
            </w:pPr>
            <w:r w:rsidRPr="00B55ECA">
              <w:rPr>
                <w:rFonts w:ascii="Calibri" w:eastAsia="Times New Roman" w:hAnsi="Calibri" w:cs="Calibri"/>
                <w:kern w:val="0"/>
                <w:lang w:val="en-SG" w:eastAsia="en-GB"/>
                <w14:ligatures w14:val="none"/>
              </w:rPr>
              <w:t> X</w:t>
            </w:r>
          </w:p>
        </w:tc>
      </w:tr>
      <w:tr w:rsidR="003B3A18" w:rsidRPr="009C4D10" w14:paraId="25602148"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B3A18" w:rsidRPr="009C4D10" w14:paraId="56ADA481" w14:textId="77777777" w:rsidTr="036DDA7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36DDA71">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32E6D721" w:rsidR="00C82860" w:rsidRPr="00CF2E7C" w:rsidRDefault="00860822" w:rsidP="00860822">
            <w:pPr>
              <w:jc w:val="both"/>
              <w:textAlignment w:val="baseline"/>
              <w:rPr>
                <w:rFonts w:ascii="Calibri" w:eastAsia="Times New Roman" w:hAnsi="Calibri" w:cs="Calibri"/>
                <w:kern w:val="0"/>
                <w:lang w:eastAsia="en-GB"/>
                <w14:ligatures w14:val="none"/>
              </w:rPr>
            </w:pPr>
            <w:r w:rsidRPr="00860822">
              <w:rPr>
                <w:rFonts w:ascii="Calibri" w:eastAsia="Times New Roman" w:hAnsi="Calibri" w:cs="Calibri"/>
                <w:kern w:val="0"/>
                <w:lang w:eastAsia="en-GB"/>
                <w14:ligatures w14:val="none"/>
              </w:rPr>
              <w:t>The Guideline does not explicitly require or recommend the use of specific metrics to assess portfolio exposure to climate physical or transition risks whether by geography or by sector. However, Section 2.3.5 mandates that banks consider environmental and climate-related risks in their credit policies and procedures. While this implies a qualitative assessment of such exposures, the guideline does not provide or mandate quantitative metrics or risk indicators for monitoring exposure to high-risk geographies or sectors. Therefore, the use of metrics for these purposes is considered "Not specified."</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3B3A18"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3B3A18"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3B3A18"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3B3A18"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3B3A18"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B3A18"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B3A18"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B3A18"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B3A18"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B3A18"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3B3A18"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B3A18"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B3A18"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B3A18"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B3A18"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B3A18"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B3A18"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B3A18"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3B3A18"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3B3A18"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B3A18"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3B3A18"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3B3A18"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B3A18"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3B3A18"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3B3A18"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3B3A18"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3B3A18"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3B3A18"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3B3A18"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3B3A18"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3B3A18"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3B3A18"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B3A18"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3B3A18"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3B3A18"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01AA3E6F" w:rsidR="00F26296" w:rsidRPr="00CF2E7C" w:rsidRDefault="002952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3B3A18"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003162DC" w:rsidR="00F26296" w:rsidRPr="00CF2E7C" w:rsidRDefault="00F26296" w:rsidP="00295215">
            <w:pPr>
              <w:jc w:val="both"/>
              <w:textAlignment w:val="baseline"/>
              <w:rPr>
                <w:rFonts w:ascii="Calibri" w:eastAsia="Times New Roman" w:hAnsi="Calibri" w:cs="Calibri"/>
                <w:kern w:val="0"/>
                <w:lang w:eastAsia="en-GB"/>
                <w14:ligatures w14:val="none"/>
              </w:rPr>
            </w:pPr>
          </w:p>
        </w:tc>
      </w:tr>
      <w:tr w:rsidR="003B3A18"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3B3A18"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3B3A18"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3B3A18"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3B3A18"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3B3A18"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3B3A18"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3B3A18"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304E446" w:rsidR="00702413" w:rsidRPr="009C4D10" w:rsidRDefault="00531D34" w:rsidP="00531D34">
            <w:pPr>
              <w:jc w:val="both"/>
              <w:textAlignment w:val="baseline"/>
              <w:rPr>
                <w:rFonts w:eastAsia="Times New Roman" w:cstheme="minorHAnsi"/>
                <w:kern w:val="0"/>
                <w:lang w:eastAsia="en-GB"/>
                <w14:ligatures w14:val="none"/>
              </w:rPr>
            </w:pPr>
            <w:r w:rsidRPr="00531D34">
              <w:rPr>
                <w:rFonts w:eastAsia="Times New Roman" w:cstheme="minorHAnsi"/>
                <w:kern w:val="0"/>
                <w:lang w:eastAsia="en-GB"/>
                <w14:ligatures w14:val="none"/>
              </w:rPr>
              <w:t>One relevant consideration not directly addressed is that the Guideline, while not a regulation per se, holds quasi-mandatory weight in practice. In Türkiye's regulatory environment, such guidelines, although framed as principles-based, are closely monitored by the BRSA, and banks are expected to comply with them as if they were binding. Moreover, the guideline implicitly supports climate-related financial risk management through the integration of broader ESG factors into credit processes, despite not explicitly naming “climate risk” as a standalone category. This reflects an evolving regulatory approach toward climate-related risks in emerging markets.</w:t>
            </w:r>
          </w:p>
        </w:tc>
      </w:tr>
      <w:tr w:rsidR="003B3A18"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3926961" w:rsidR="00702413" w:rsidRPr="009C4D10" w:rsidRDefault="00C26156" w:rsidP="00C26156">
            <w:pPr>
              <w:jc w:val="both"/>
              <w:textAlignment w:val="baseline"/>
              <w:rPr>
                <w:rFonts w:eastAsia="Times New Roman" w:cstheme="minorHAnsi"/>
                <w:kern w:val="0"/>
                <w:lang w:eastAsia="en-GB"/>
                <w14:ligatures w14:val="none"/>
              </w:rPr>
            </w:pPr>
            <w:r w:rsidRPr="00C26156">
              <w:rPr>
                <w:rFonts w:eastAsia="Times New Roman" w:cstheme="minorHAnsi"/>
                <w:kern w:val="0"/>
                <w:lang w:eastAsia="en-GB"/>
                <w14:ligatures w14:val="none"/>
              </w:rPr>
              <w:t>One of the key challenges in implementing the Guideline as a prudential tool for climate-related financial risk management is its broad and principles-based nature, which lacks specific references to climate-related terminology, metrics, and international frameworks. This creates ambiguity in supervisory expectations and leads to inconsistent application across institutions. Furthermore, banks often face limitations in accessing reliable, sector-specific, and forward-looking data necessary to assess climate-related risks effectively. Institutional capacity gaps, particularly in terms of expertise, tools, and internal systems; also hinder the full integration of climate risks into credit risk management. Additionally, the absence of alignment with global standards such as the EU Taxonomy or the TCFD framework reduces comparability and creates challenges in harmonizing domestic practices with international best practices. The Guideline does not stipulate explicit enforcement mechanisms or sanctions, and in the event of non-compliance or disputes, the supervisory and legal processes remain ambiguous, further limiting its effectiveness as a binding prudential instrument.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3B3A18"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3B3A18"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3B3A18"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FD6F7CB" w:rsidR="00FE0EA5" w:rsidRPr="009C4D10" w:rsidRDefault="00FE0EA5" w:rsidP="00CF2E7C">
            <w:pPr>
              <w:rPr>
                <w:rFonts w:cstheme="minorHAnsi"/>
              </w:rPr>
            </w:pPr>
            <w:r w:rsidRPr="009C4D10">
              <w:rPr>
                <w:rFonts w:cstheme="minorHAnsi"/>
                <w:lang w:val="en-SG"/>
              </w:rPr>
              <w:t> </w:t>
            </w:r>
            <w:r w:rsidRPr="009C4D10">
              <w:rPr>
                <w:rFonts w:cstheme="minorHAnsi"/>
              </w:rPr>
              <w:t> </w:t>
            </w:r>
            <w:r w:rsidR="00116F33">
              <w:rPr>
                <w:rFonts w:cstheme="minorHAnsi"/>
              </w:rPr>
              <w:t>X</w:t>
            </w:r>
          </w:p>
        </w:tc>
      </w:tr>
      <w:tr w:rsidR="003B3A18"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D77A4E" w:rsidRPr="009C4D10" w:rsidRDefault="00D77A4E" w:rsidP="00D77A4E">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D77A4E" w:rsidRPr="009C4D10" w:rsidRDefault="00D77A4E" w:rsidP="00D77A4E">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EDF361B" w:rsidR="00D77A4E" w:rsidRPr="009C4D10" w:rsidRDefault="00D77A4E" w:rsidP="00D77A4E">
            <w:pPr>
              <w:rPr>
                <w:rFonts w:cstheme="minorHAnsi"/>
              </w:rPr>
            </w:pPr>
            <w:r w:rsidRPr="009C4D10">
              <w:rPr>
                <w:rFonts w:cstheme="minorHAnsi"/>
                <w:lang w:val="en-SG"/>
              </w:rPr>
              <w:t> </w:t>
            </w:r>
            <w:r w:rsidRPr="009C4D10">
              <w:rPr>
                <w:rFonts w:cstheme="minorHAnsi"/>
              </w:rPr>
              <w:t> </w:t>
            </w:r>
            <w:r>
              <w:rPr>
                <w:rFonts w:cstheme="minorHAnsi"/>
              </w:rPr>
              <w:t>X</w:t>
            </w:r>
          </w:p>
        </w:tc>
      </w:tr>
      <w:tr w:rsidR="003B3A18"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D77A4E" w:rsidRPr="009C4D10" w:rsidRDefault="00D77A4E" w:rsidP="00D77A4E">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D77A4E" w:rsidRPr="009C4D10" w:rsidRDefault="00D77A4E" w:rsidP="00D77A4E">
            <w:pPr>
              <w:rPr>
                <w:rFonts w:cstheme="minorHAnsi"/>
              </w:rPr>
            </w:pPr>
            <w:hyperlink r:id="rId20"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9097391" w:rsidR="00D77A4E" w:rsidRPr="009C4D10" w:rsidRDefault="00D77A4E" w:rsidP="00D77A4E">
            <w:pPr>
              <w:rPr>
                <w:rFonts w:cstheme="minorHAnsi"/>
              </w:rPr>
            </w:pPr>
            <w:r w:rsidRPr="009C4D10">
              <w:rPr>
                <w:rFonts w:cstheme="minorHAnsi"/>
                <w:lang w:val="en-SG"/>
              </w:rPr>
              <w:t> </w:t>
            </w:r>
            <w:r w:rsidRPr="009C4D10">
              <w:rPr>
                <w:rFonts w:cstheme="minorHAnsi"/>
              </w:rPr>
              <w:t> </w:t>
            </w:r>
            <w:r>
              <w:rPr>
                <w:rFonts w:cstheme="minorHAnsi"/>
              </w:rPr>
              <w:t>X</w:t>
            </w:r>
          </w:p>
        </w:tc>
      </w:tr>
      <w:tr w:rsidR="003B3A18"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D77A4E" w:rsidRPr="009C4D10" w:rsidRDefault="00D77A4E" w:rsidP="00D77A4E">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D77A4E" w:rsidRPr="009C4D10" w:rsidRDefault="00D77A4E" w:rsidP="00D77A4E">
            <w:pPr>
              <w:rPr>
                <w:rFonts w:cstheme="minorHAnsi"/>
              </w:rPr>
            </w:pPr>
            <w:hyperlink r:id="rId21"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5CFE197" w:rsidR="00D77A4E" w:rsidRPr="009C4D10" w:rsidRDefault="00D77A4E" w:rsidP="00D77A4E">
            <w:pPr>
              <w:rPr>
                <w:rFonts w:cstheme="minorHAnsi"/>
              </w:rPr>
            </w:pPr>
            <w:r w:rsidRPr="009C4D10">
              <w:rPr>
                <w:rFonts w:cstheme="minorHAnsi"/>
                <w:lang w:val="en-SG"/>
              </w:rPr>
              <w:t> </w:t>
            </w:r>
            <w:r w:rsidRPr="009C4D10">
              <w:rPr>
                <w:rFonts w:cstheme="minorHAnsi"/>
              </w:rPr>
              <w:t> </w:t>
            </w:r>
            <w:r>
              <w:rPr>
                <w:rFonts w:cstheme="minorHAnsi"/>
              </w:rPr>
              <w:t>X</w:t>
            </w:r>
          </w:p>
        </w:tc>
      </w:tr>
      <w:tr w:rsidR="003B3A18"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D77A4E" w:rsidRPr="009C4D10" w:rsidRDefault="00D77A4E" w:rsidP="00D77A4E">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D77A4E" w:rsidRPr="009C4D10" w:rsidRDefault="00D77A4E" w:rsidP="00D77A4E">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D77A4E" w:rsidRPr="009C4D10" w:rsidRDefault="00D77A4E" w:rsidP="00D77A4E">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C20AE0C" w:rsidR="00D77A4E" w:rsidRPr="009C4D10" w:rsidRDefault="00D77A4E" w:rsidP="00D77A4E">
            <w:pPr>
              <w:rPr>
                <w:rFonts w:cstheme="minorHAnsi"/>
              </w:rPr>
            </w:pPr>
            <w:r w:rsidRPr="009C4D10">
              <w:rPr>
                <w:rFonts w:cstheme="minorHAnsi"/>
                <w:lang w:val="en-SG"/>
              </w:rPr>
              <w:t> </w:t>
            </w:r>
            <w:r w:rsidRPr="009C4D10">
              <w:rPr>
                <w:rFonts w:cstheme="minorHAnsi"/>
              </w:rPr>
              <w:t> </w:t>
            </w:r>
            <w:r>
              <w:rPr>
                <w:rFonts w:cstheme="minorHAnsi"/>
              </w:rPr>
              <w:t>X</w:t>
            </w:r>
          </w:p>
        </w:tc>
      </w:tr>
      <w:tr w:rsidR="003B3A18"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D77A4E" w:rsidRPr="009C4D10" w:rsidRDefault="00D77A4E" w:rsidP="00D77A4E">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D77A4E" w:rsidRPr="009C4D10" w:rsidRDefault="00D77A4E" w:rsidP="00D77A4E">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D77A4E" w:rsidRPr="009C4D10" w:rsidRDefault="00D77A4E" w:rsidP="00D77A4E">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D77A4E" w:rsidRPr="009C4D10" w:rsidRDefault="00D77A4E" w:rsidP="00D77A4E">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06C2D44" w:rsidR="00D77A4E" w:rsidRPr="009C4D10" w:rsidRDefault="00D77A4E" w:rsidP="00D77A4E">
            <w:pPr>
              <w:rPr>
                <w:rFonts w:cstheme="minorHAnsi"/>
              </w:rPr>
            </w:pPr>
            <w:r w:rsidRPr="009C4D10">
              <w:rPr>
                <w:rFonts w:cstheme="minorHAnsi"/>
                <w:lang w:val="en-SG"/>
              </w:rPr>
              <w:t> </w:t>
            </w:r>
            <w:r w:rsidRPr="009C4D10">
              <w:rPr>
                <w:rFonts w:cstheme="minorHAnsi"/>
              </w:rPr>
              <w:t> </w:t>
            </w:r>
            <w:r>
              <w:rPr>
                <w:rFonts w:cstheme="minorHAnsi"/>
              </w:rPr>
              <w:t>X</w:t>
            </w:r>
          </w:p>
        </w:tc>
      </w:tr>
      <w:tr w:rsidR="003B3A18"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3B3A18"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6F0D349E" w:rsidR="00C01AF9" w:rsidRPr="009C4D10" w:rsidRDefault="007D369E" w:rsidP="007D369E">
            <w:pPr>
              <w:jc w:val="both"/>
              <w:rPr>
                <w:rFonts w:cstheme="minorHAnsi"/>
              </w:rPr>
            </w:pPr>
            <w:r w:rsidRPr="007D369E">
              <w:rPr>
                <w:rFonts w:cstheme="minorHAnsi"/>
              </w:rPr>
              <w:t xml:space="preserve">The Guideline does not explicitly require or refer to any international standards, frameworks, or guidelines related to climate or environmental risk management. While the Guideline incorporates broader ESG considerations into credit risk governance, it does so within the context of Türkiye's national regulatory framework and does not cite global initiatives such as the TCFD, </w:t>
            </w:r>
            <w:r w:rsidRPr="007D369E">
              <w:rPr>
                <w:rFonts w:cstheme="minorHAnsi"/>
              </w:rPr>
              <w:lastRenderedPageBreak/>
              <w:t>NGFS, or Basel Committee publications. Therefore, no additional standards or frameworks are directly referenced within the policy tool.</w:t>
            </w:r>
          </w:p>
        </w:tc>
      </w:tr>
    </w:tbl>
    <w:p w14:paraId="6EB6D981" w14:textId="51801995" w:rsidR="33822AF7" w:rsidRDefault="33822AF7">
      <w:r>
        <w:lastRenderedPageBreak/>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5499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3B3A18"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3B3A18"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3B3A18"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3B3A18"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3B3A18"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3B3A18"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3B3A18"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3B3A18"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3B3A18"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3EE1EE" w14:textId="77777777" w:rsidR="00940545" w:rsidRDefault="00940545" w:rsidP="00874E39">
      <w:r>
        <w:separator/>
      </w:r>
    </w:p>
  </w:endnote>
  <w:endnote w:type="continuationSeparator" w:id="0">
    <w:p w14:paraId="204AC9FA" w14:textId="77777777" w:rsidR="00940545" w:rsidRDefault="00940545" w:rsidP="00874E39">
      <w:r>
        <w:continuationSeparator/>
      </w:r>
    </w:p>
  </w:endnote>
  <w:endnote w:type="continuationNotice" w:id="1">
    <w:p w14:paraId="78DDAEEE" w14:textId="77777777" w:rsidR="00940545" w:rsidRDefault="009405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F313E32"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B0B1C8" w14:textId="77777777" w:rsidR="00940545" w:rsidRDefault="00940545" w:rsidP="00874E39">
      <w:r>
        <w:separator/>
      </w:r>
    </w:p>
  </w:footnote>
  <w:footnote w:type="continuationSeparator" w:id="0">
    <w:p w14:paraId="0CC6ADE2" w14:textId="77777777" w:rsidR="00940545" w:rsidRDefault="00940545" w:rsidP="00874E39">
      <w:r>
        <w:continuationSeparator/>
      </w:r>
    </w:p>
  </w:footnote>
  <w:footnote w:type="continuationNotice" w:id="1">
    <w:p w14:paraId="2E41B651" w14:textId="77777777" w:rsidR="00940545" w:rsidRDefault="009405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822022"/>
    <w:multiLevelType w:val="multilevel"/>
    <w:tmpl w:val="D772B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F303541"/>
    <w:multiLevelType w:val="multilevel"/>
    <w:tmpl w:val="88DE4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518593153">
    <w:abstractNumId w:val="20"/>
  </w:num>
  <w:num w:numId="50" w16cid:durableId="1288120801">
    <w:abstractNumId w:val="4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B65"/>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EBF"/>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40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0F"/>
    <w:rsid w:val="00050BDF"/>
    <w:rsid w:val="00050ED5"/>
    <w:rsid w:val="000526BB"/>
    <w:rsid w:val="00052CA3"/>
    <w:rsid w:val="000555DB"/>
    <w:rsid w:val="0006062B"/>
    <w:rsid w:val="000607C0"/>
    <w:rsid w:val="000609A8"/>
    <w:rsid w:val="00061CCB"/>
    <w:rsid w:val="00062223"/>
    <w:rsid w:val="00062526"/>
    <w:rsid w:val="00063441"/>
    <w:rsid w:val="00064195"/>
    <w:rsid w:val="00064FDB"/>
    <w:rsid w:val="00065A4A"/>
    <w:rsid w:val="0006692A"/>
    <w:rsid w:val="00067899"/>
    <w:rsid w:val="00067E05"/>
    <w:rsid w:val="000702AA"/>
    <w:rsid w:val="000704DB"/>
    <w:rsid w:val="00071C1F"/>
    <w:rsid w:val="0007502A"/>
    <w:rsid w:val="00075B10"/>
    <w:rsid w:val="000779A3"/>
    <w:rsid w:val="00077A27"/>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B02"/>
    <w:rsid w:val="00092E1C"/>
    <w:rsid w:val="000932A7"/>
    <w:rsid w:val="00093CA9"/>
    <w:rsid w:val="00094134"/>
    <w:rsid w:val="000948C7"/>
    <w:rsid w:val="00094E23"/>
    <w:rsid w:val="00096371"/>
    <w:rsid w:val="00096613"/>
    <w:rsid w:val="000966D3"/>
    <w:rsid w:val="000A0D34"/>
    <w:rsid w:val="000A1365"/>
    <w:rsid w:val="000A1490"/>
    <w:rsid w:val="000A1828"/>
    <w:rsid w:val="000A1917"/>
    <w:rsid w:val="000A1C25"/>
    <w:rsid w:val="000A3987"/>
    <w:rsid w:val="000A3C19"/>
    <w:rsid w:val="000A50AD"/>
    <w:rsid w:val="000A59F1"/>
    <w:rsid w:val="000A6B31"/>
    <w:rsid w:val="000A6F11"/>
    <w:rsid w:val="000A7C9B"/>
    <w:rsid w:val="000B0734"/>
    <w:rsid w:val="000B15C7"/>
    <w:rsid w:val="000B1BF7"/>
    <w:rsid w:val="000B37B0"/>
    <w:rsid w:val="000B3F66"/>
    <w:rsid w:val="000B3F68"/>
    <w:rsid w:val="000B4374"/>
    <w:rsid w:val="000B50D0"/>
    <w:rsid w:val="000B719B"/>
    <w:rsid w:val="000C0F8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2280"/>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89E"/>
    <w:rsid w:val="0011644D"/>
    <w:rsid w:val="00116A94"/>
    <w:rsid w:val="00116F33"/>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37A"/>
    <w:rsid w:val="00153DBC"/>
    <w:rsid w:val="001546B4"/>
    <w:rsid w:val="00155DE2"/>
    <w:rsid w:val="00156468"/>
    <w:rsid w:val="00156AE2"/>
    <w:rsid w:val="00156CD5"/>
    <w:rsid w:val="0015734C"/>
    <w:rsid w:val="0016002C"/>
    <w:rsid w:val="00160486"/>
    <w:rsid w:val="001604B3"/>
    <w:rsid w:val="00161D1B"/>
    <w:rsid w:val="00162CC0"/>
    <w:rsid w:val="001643F8"/>
    <w:rsid w:val="00164519"/>
    <w:rsid w:val="00170E69"/>
    <w:rsid w:val="001716EB"/>
    <w:rsid w:val="00172B85"/>
    <w:rsid w:val="00173D7C"/>
    <w:rsid w:val="0017449C"/>
    <w:rsid w:val="001749C3"/>
    <w:rsid w:val="00175B93"/>
    <w:rsid w:val="00176011"/>
    <w:rsid w:val="00180289"/>
    <w:rsid w:val="00182288"/>
    <w:rsid w:val="00182646"/>
    <w:rsid w:val="00182725"/>
    <w:rsid w:val="00183170"/>
    <w:rsid w:val="00184609"/>
    <w:rsid w:val="00185C8C"/>
    <w:rsid w:val="001904E6"/>
    <w:rsid w:val="00191059"/>
    <w:rsid w:val="001919D8"/>
    <w:rsid w:val="00192EC4"/>
    <w:rsid w:val="0019340B"/>
    <w:rsid w:val="001953A3"/>
    <w:rsid w:val="0019639C"/>
    <w:rsid w:val="00197A30"/>
    <w:rsid w:val="00197E06"/>
    <w:rsid w:val="001A02C8"/>
    <w:rsid w:val="001A0537"/>
    <w:rsid w:val="001A11A7"/>
    <w:rsid w:val="001A383A"/>
    <w:rsid w:val="001A38BD"/>
    <w:rsid w:val="001A4045"/>
    <w:rsid w:val="001A4372"/>
    <w:rsid w:val="001A4C33"/>
    <w:rsid w:val="001A4E14"/>
    <w:rsid w:val="001A56AE"/>
    <w:rsid w:val="001A5F64"/>
    <w:rsid w:val="001A6414"/>
    <w:rsid w:val="001A660D"/>
    <w:rsid w:val="001A6E92"/>
    <w:rsid w:val="001A6EEE"/>
    <w:rsid w:val="001A764D"/>
    <w:rsid w:val="001B0692"/>
    <w:rsid w:val="001B0851"/>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B7C"/>
    <w:rsid w:val="001E7064"/>
    <w:rsid w:val="001E7C37"/>
    <w:rsid w:val="001E7EFB"/>
    <w:rsid w:val="001F028F"/>
    <w:rsid w:val="001F0A2D"/>
    <w:rsid w:val="001F1106"/>
    <w:rsid w:val="001F1231"/>
    <w:rsid w:val="001F1584"/>
    <w:rsid w:val="001F2D88"/>
    <w:rsid w:val="001F2DE2"/>
    <w:rsid w:val="001F2FC4"/>
    <w:rsid w:val="001F30DE"/>
    <w:rsid w:val="001F36B6"/>
    <w:rsid w:val="001F616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6F9"/>
    <w:rsid w:val="00257732"/>
    <w:rsid w:val="00264CBC"/>
    <w:rsid w:val="0026588F"/>
    <w:rsid w:val="0026642F"/>
    <w:rsid w:val="002679A5"/>
    <w:rsid w:val="0027067C"/>
    <w:rsid w:val="00270A4D"/>
    <w:rsid w:val="00272D9A"/>
    <w:rsid w:val="002737EF"/>
    <w:rsid w:val="00274335"/>
    <w:rsid w:val="00274864"/>
    <w:rsid w:val="00274B22"/>
    <w:rsid w:val="00276B75"/>
    <w:rsid w:val="00277FC5"/>
    <w:rsid w:val="00284ADD"/>
    <w:rsid w:val="00285DA7"/>
    <w:rsid w:val="00286683"/>
    <w:rsid w:val="00286FE0"/>
    <w:rsid w:val="002878A1"/>
    <w:rsid w:val="002912CD"/>
    <w:rsid w:val="0029521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C82"/>
    <w:rsid w:val="002A79E3"/>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E48"/>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A1F"/>
    <w:rsid w:val="002E1EE8"/>
    <w:rsid w:val="002E2C07"/>
    <w:rsid w:val="002E41E2"/>
    <w:rsid w:val="002E46B9"/>
    <w:rsid w:val="002E54AE"/>
    <w:rsid w:val="002E5ACB"/>
    <w:rsid w:val="002E6406"/>
    <w:rsid w:val="002E6DEC"/>
    <w:rsid w:val="002E7BF5"/>
    <w:rsid w:val="002F0752"/>
    <w:rsid w:val="002F1ABB"/>
    <w:rsid w:val="002F359D"/>
    <w:rsid w:val="002F3FDE"/>
    <w:rsid w:val="002F435A"/>
    <w:rsid w:val="002F4EC2"/>
    <w:rsid w:val="002F51F3"/>
    <w:rsid w:val="002F5320"/>
    <w:rsid w:val="002F5D09"/>
    <w:rsid w:val="0030073A"/>
    <w:rsid w:val="00300C2F"/>
    <w:rsid w:val="00301757"/>
    <w:rsid w:val="003020DB"/>
    <w:rsid w:val="00302816"/>
    <w:rsid w:val="00302BC0"/>
    <w:rsid w:val="00302E16"/>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C0A"/>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DEB"/>
    <w:rsid w:val="00372AEE"/>
    <w:rsid w:val="00374229"/>
    <w:rsid w:val="0037453B"/>
    <w:rsid w:val="00374D17"/>
    <w:rsid w:val="00375D49"/>
    <w:rsid w:val="003762A4"/>
    <w:rsid w:val="003770DA"/>
    <w:rsid w:val="00377281"/>
    <w:rsid w:val="0037E466"/>
    <w:rsid w:val="003811C3"/>
    <w:rsid w:val="003817C1"/>
    <w:rsid w:val="00381CDC"/>
    <w:rsid w:val="00381E8A"/>
    <w:rsid w:val="00381FD3"/>
    <w:rsid w:val="00385566"/>
    <w:rsid w:val="00386B53"/>
    <w:rsid w:val="0038785C"/>
    <w:rsid w:val="00387AF6"/>
    <w:rsid w:val="0039010E"/>
    <w:rsid w:val="00390B82"/>
    <w:rsid w:val="00390EB0"/>
    <w:rsid w:val="0039223F"/>
    <w:rsid w:val="00392F82"/>
    <w:rsid w:val="0039353D"/>
    <w:rsid w:val="003937AD"/>
    <w:rsid w:val="00393BA9"/>
    <w:rsid w:val="0039625A"/>
    <w:rsid w:val="0039674A"/>
    <w:rsid w:val="003A0C73"/>
    <w:rsid w:val="003A144F"/>
    <w:rsid w:val="003A2976"/>
    <w:rsid w:val="003A2E5E"/>
    <w:rsid w:val="003A4A9F"/>
    <w:rsid w:val="003A52E3"/>
    <w:rsid w:val="003A5B03"/>
    <w:rsid w:val="003B0628"/>
    <w:rsid w:val="003B3A18"/>
    <w:rsid w:val="003B3C0F"/>
    <w:rsid w:val="003B4D64"/>
    <w:rsid w:val="003B4DD6"/>
    <w:rsid w:val="003B4F81"/>
    <w:rsid w:val="003B539A"/>
    <w:rsid w:val="003B5B6C"/>
    <w:rsid w:val="003B5D42"/>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96"/>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73B"/>
    <w:rsid w:val="00432DF0"/>
    <w:rsid w:val="00432E52"/>
    <w:rsid w:val="00433033"/>
    <w:rsid w:val="004333DA"/>
    <w:rsid w:val="00433617"/>
    <w:rsid w:val="00433B13"/>
    <w:rsid w:val="00434724"/>
    <w:rsid w:val="00434B6A"/>
    <w:rsid w:val="004362B2"/>
    <w:rsid w:val="0043666A"/>
    <w:rsid w:val="00436F24"/>
    <w:rsid w:val="0043774D"/>
    <w:rsid w:val="00437B11"/>
    <w:rsid w:val="004405AC"/>
    <w:rsid w:val="004419AC"/>
    <w:rsid w:val="00444D51"/>
    <w:rsid w:val="004474C7"/>
    <w:rsid w:val="00450AD7"/>
    <w:rsid w:val="00450C15"/>
    <w:rsid w:val="004514AB"/>
    <w:rsid w:val="00451A21"/>
    <w:rsid w:val="00452F13"/>
    <w:rsid w:val="004557A1"/>
    <w:rsid w:val="00455E1B"/>
    <w:rsid w:val="004561BF"/>
    <w:rsid w:val="00460A6D"/>
    <w:rsid w:val="00461552"/>
    <w:rsid w:val="00463D40"/>
    <w:rsid w:val="00464C5E"/>
    <w:rsid w:val="0046509D"/>
    <w:rsid w:val="00465B8D"/>
    <w:rsid w:val="00465BE4"/>
    <w:rsid w:val="00467A1C"/>
    <w:rsid w:val="00470095"/>
    <w:rsid w:val="00470D19"/>
    <w:rsid w:val="004711F3"/>
    <w:rsid w:val="00473043"/>
    <w:rsid w:val="00473D86"/>
    <w:rsid w:val="00474855"/>
    <w:rsid w:val="004768DF"/>
    <w:rsid w:val="00480247"/>
    <w:rsid w:val="004820B6"/>
    <w:rsid w:val="00483B35"/>
    <w:rsid w:val="00483D65"/>
    <w:rsid w:val="00484663"/>
    <w:rsid w:val="00485B85"/>
    <w:rsid w:val="00486758"/>
    <w:rsid w:val="00486B53"/>
    <w:rsid w:val="00486C77"/>
    <w:rsid w:val="00487AFB"/>
    <w:rsid w:val="00490235"/>
    <w:rsid w:val="0049168C"/>
    <w:rsid w:val="004924B4"/>
    <w:rsid w:val="00493986"/>
    <w:rsid w:val="00493E0A"/>
    <w:rsid w:val="00494A74"/>
    <w:rsid w:val="00494B67"/>
    <w:rsid w:val="00496413"/>
    <w:rsid w:val="004A06B9"/>
    <w:rsid w:val="004A14A0"/>
    <w:rsid w:val="004A1B2A"/>
    <w:rsid w:val="004A1C8C"/>
    <w:rsid w:val="004A2174"/>
    <w:rsid w:val="004A4C51"/>
    <w:rsid w:val="004A4E0A"/>
    <w:rsid w:val="004A54B3"/>
    <w:rsid w:val="004A625B"/>
    <w:rsid w:val="004A6D34"/>
    <w:rsid w:val="004A7899"/>
    <w:rsid w:val="004A7CD9"/>
    <w:rsid w:val="004B016F"/>
    <w:rsid w:val="004B032B"/>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D7C9D"/>
    <w:rsid w:val="004E4F56"/>
    <w:rsid w:val="004E51B5"/>
    <w:rsid w:val="004F0C55"/>
    <w:rsid w:val="004F276F"/>
    <w:rsid w:val="004F48E8"/>
    <w:rsid w:val="004F5354"/>
    <w:rsid w:val="00500997"/>
    <w:rsid w:val="00501CCF"/>
    <w:rsid w:val="00502833"/>
    <w:rsid w:val="00502C8A"/>
    <w:rsid w:val="00502F7A"/>
    <w:rsid w:val="0050301B"/>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34"/>
    <w:rsid w:val="00532585"/>
    <w:rsid w:val="00532B66"/>
    <w:rsid w:val="00536B60"/>
    <w:rsid w:val="00537706"/>
    <w:rsid w:val="005405A8"/>
    <w:rsid w:val="00540D6F"/>
    <w:rsid w:val="00541713"/>
    <w:rsid w:val="00542E3C"/>
    <w:rsid w:val="005430CA"/>
    <w:rsid w:val="00543246"/>
    <w:rsid w:val="005439FC"/>
    <w:rsid w:val="00543A7C"/>
    <w:rsid w:val="00543D45"/>
    <w:rsid w:val="00544705"/>
    <w:rsid w:val="00544991"/>
    <w:rsid w:val="00545554"/>
    <w:rsid w:val="0054662E"/>
    <w:rsid w:val="0054680A"/>
    <w:rsid w:val="00547B98"/>
    <w:rsid w:val="0055251F"/>
    <w:rsid w:val="00553BB6"/>
    <w:rsid w:val="00554079"/>
    <w:rsid w:val="00554F39"/>
    <w:rsid w:val="0055593D"/>
    <w:rsid w:val="00556C9C"/>
    <w:rsid w:val="005576AE"/>
    <w:rsid w:val="00557E17"/>
    <w:rsid w:val="00561537"/>
    <w:rsid w:val="00563224"/>
    <w:rsid w:val="00563432"/>
    <w:rsid w:val="00563DC7"/>
    <w:rsid w:val="00566FDB"/>
    <w:rsid w:val="00570082"/>
    <w:rsid w:val="00571BA3"/>
    <w:rsid w:val="005722D9"/>
    <w:rsid w:val="00572C90"/>
    <w:rsid w:val="005733AF"/>
    <w:rsid w:val="00573CC9"/>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6D46"/>
    <w:rsid w:val="0059772D"/>
    <w:rsid w:val="005A03B5"/>
    <w:rsid w:val="005A2023"/>
    <w:rsid w:val="005A270C"/>
    <w:rsid w:val="005A2821"/>
    <w:rsid w:val="005A2900"/>
    <w:rsid w:val="005A383B"/>
    <w:rsid w:val="005A4E4C"/>
    <w:rsid w:val="005A54A2"/>
    <w:rsid w:val="005A5613"/>
    <w:rsid w:val="005A76C9"/>
    <w:rsid w:val="005B355B"/>
    <w:rsid w:val="005B3D15"/>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446"/>
    <w:rsid w:val="005F1EF0"/>
    <w:rsid w:val="005F2454"/>
    <w:rsid w:val="005F2B91"/>
    <w:rsid w:val="005F2D73"/>
    <w:rsid w:val="005F2EA1"/>
    <w:rsid w:val="005F3137"/>
    <w:rsid w:val="005F444D"/>
    <w:rsid w:val="005F4B1C"/>
    <w:rsid w:val="005F4D8C"/>
    <w:rsid w:val="005F663B"/>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F5B"/>
    <w:rsid w:val="00617678"/>
    <w:rsid w:val="00620CAC"/>
    <w:rsid w:val="006225F1"/>
    <w:rsid w:val="006229D5"/>
    <w:rsid w:val="006231E7"/>
    <w:rsid w:val="006239D6"/>
    <w:rsid w:val="00625B83"/>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A27"/>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F06"/>
    <w:rsid w:val="006936EF"/>
    <w:rsid w:val="006943E9"/>
    <w:rsid w:val="00695F64"/>
    <w:rsid w:val="00696548"/>
    <w:rsid w:val="00696D68"/>
    <w:rsid w:val="006A00E0"/>
    <w:rsid w:val="006A103A"/>
    <w:rsid w:val="006A154F"/>
    <w:rsid w:val="006A2168"/>
    <w:rsid w:val="006A21C6"/>
    <w:rsid w:val="006A308E"/>
    <w:rsid w:val="006A3518"/>
    <w:rsid w:val="006A4C24"/>
    <w:rsid w:val="006A4C9F"/>
    <w:rsid w:val="006A61DD"/>
    <w:rsid w:val="006A6270"/>
    <w:rsid w:val="006A63B5"/>
    <w:rsid w:val="006B07E5"/>
    <w:rsid w:val="006B0C0B"/>
    <w:rsid w:val="006B2C46"/>
    <w:rsid w:val="006B4FC8"/>
    <w:rsid w:val="006B6168"/>
    <w:rsid w:val="006B61C2"/>
    <w:rsid w:val="006B63A3"/>
    <w:rsid w:val="006B7780"/>
    <w:rsid w:val="006B7B0D"/>
    <w:rsid w:val="006C0BEF"/>
    <w:rsid w:val="006C0C8C"/>
    <w:rsid w:val="006C0CF1"/>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E79"/>
    <w:rsid w:val="00702413"/>
    <w:rsid w:val="00702929"/>
    <w:rsid w:val="00702E5A"/>
    <w:rsid w:val="00703034"/>
    <w:rsid w:val="007032D7"/>
    <w:rsid w:val="00705289"/>
    <w:rsid w:val="007055F4"/>
    <w:rsid w:val="00705948"/>
    <w:rsid w:val="00705ADE"/>
    <w:rsid w:val="007066F4"/>
    <w:rsid w:val="00707D5E"/>
    <w:rsid w:val="00707F76"/>
    <w:rsid w:val="00710ADE"/>
    <w:rsid w:val="00711F61"/>
    <w:rsid w:val="007130D4"/>
    <w:rsid w:val="00714103"/>
    <w:rsid w:val="00714E43"/>
    <w:rsid w:val="00717C33"/>
    <w:rsid w:val="007201B1"/>
    <w:rsid w:val="007237E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395"/>
    <w:rsid w:val="00750A02"/>
    <w:rsid w:val="00752CD3"/>
    <w:rsid w:val="00753427"/>
    <w:rsid w:val="0075345B"/>
    <w:rsid w:val="0075419A"/>
    <w:rsid w:val="00754C24"/>
    <w:rsid w:val="007557DF"/>
    <w:rsid w:val="0075609B"/>
    <w:rsid w:val="00756DA3"/>
    <w:rsid w:val="00756E62"/>
    <w:rsid w:val="007600D1"/>
    <w:rsid w:val="007615D2"/>
    <w:rsid w:val="00763C64"/>
    <w:rsid w:val="00764D1A"/>
    <w:rsid w:val="00764DB3"/>
    <w:rsid w:val="00765130"/>
    <w:rsid w:val="007653FB"/>
    <w:rsid w:val="0076575D"/>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36C"/>
    <w:rsid w:val="00782ABB"/>
    <w:rsid w:val="00782B03"/>
    <w:rsid w:val="00783F69"/>
    <w:rsid w:val="007844EA"/>
    <w:rsid w:val="0078610D"/>
    <w:rsid w:val="007866CF"/>
    <w:rsid w:val="00786AC9"/>
    <w:rsid w:val="00786EC4"/>
    <w:rsid w:val="00791ED5"/>
    <w:rsid w:val="00792AC3"/>
    <w:rsid w:val="007936B2"/>
    <w:rsid w:val="007936C6"/>
    <w:rsid w:val="007939C4"/>
    <w:rsid w:val="00794D7C"/>
    <w:rsid w:val="007950E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69E"/>
    <w:rsid w:val="007D4EBE"/>
    <w:rsid w:val="007D5868"/>
    <w:rsid w:val="007D61F4"/>
    <w:rsid w:val="007D6CAB"/>
    <w:rsid w:val="007D7A4D"/>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7D3"/>
    <w:rsid w:val="007F6DD7"/>
    <w:rsid w:val="007F71BD"/>
    <w:rsid w:val="007F7D9C"/>
    <w:rsid w:val="008017F9"/>
    <w:rsid w:val="00802A4B"/>
    <w:rsid w:val="00804575"/>
    <w:rsid w:val="008047E1"/>
    <w:rsid w:val="00804EC7"/>
    <w:rsid w:val="00805459"/>
    <w:rsid w:val="008063B5"/>
    <w:rsid w:val="00806435"/>
    <w:rsid w:val="00806AB6"/>
    <w:rsid w:val="00807DC0"/>
    <w:rsid w:val="00811FC6"/>
    <w:rsid w:val="0081210B"/>
    <w:rsid w:val="0081265C"/>
    <w:rsid w:val="008128BB"/>
    <w:rsid w:val="0081313B"/>
    <w:rsid w:val="00813A3A"/>
    <w:rsid w:val="00813E00"/>
    <w:rsid w:val="00815729"/>
    <w:rsid w:val="00815AAB"/>
    <w:rsid w:val="00816D92"/>
    <w:rsid w:val="00816F1B"/>
    <w:rsid w:val="00820D9F"/>
    <w:rsid w:val="00822032"/>
    <w:rsid w:val="0082285A"/>
    <w:rsid w:val="008247E4"/>
    <w:rsid w:val="0082488A"/>
    <w:rsid w:val="0082674B"/>
    <w:rsid w:val="008273C0"/>
    <w:rsid w:val="008279D8"/>
    <w:rsid w:val="00831667"/>
    <w:rsid w:val="008318AE"/>
    <w:rsid w:val="00831C3E"/>
    <w:rsid w:val="008331E9"/>
    <w:rsid w:val="00833530"/>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67A"/>
    <w:rsid w:val="0084684C"/>
    <w:rsid w:val="008472B1"/>
    <w:rsid w:val="00850568"/>
    <w:rsid w:val="0085060B"/>
    <w:rsid w:val="00850F36"/>
    <w:rsid w:val="008510EC"/>
    <w:rsid w:val="00851476"/>
    <w:rsid w:val="00853253"/>
    <w:rsid w:val="00854B57"/>
    <w:rsid w:val="00854CE2"/>
    <w:rsid w:val="0085591B"/>
    <w:rsid w:val="008569FA"/>
    <w:rsid w:val="008577E3"/>
    <w:rsid w:val="008579C6"/>
    <w:rsid w:val="00860822"/>
    <w:rsid w:val="00860CA9"/>
    <w:rsid w:val="00862AB1"/>
    <w:rsid w:val="00862EB9"/>
    <w:rsid w:val="008642FE"/>
    <w:rsid w:val="008650EB"/>
    <w:rsid w:val="00866133"/>
    <w:rsid w:val="0087096F"/>
    <w:rsid w:val="008709CF"/>
    <w:rsid w:val="00872A9A"/>
    <w:rsid w:val="008732CE"/>
    <w:rsid w:val="0087393B"/>
    <w:rsid w:val="008747C8"/>
    <w:rsid w:val="00874E39"/>
    <w:rsid w:val="0087515D"/>
    <w:rsid w:val="008766C1"/>
    <w:rsid w:val="00877C38"/>
    <w:rsid w:val="00877EBD"/>
    <w:rsid w:val="00877ECA"/>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48F"/>
    <w:rsid w:val="00896A1E"/>
    <w:rsid w:val="00897600"/>
    <w:rsid w:val="008A0461"/>
    <w:rsid w:val="008A093D"/>
    <w:rsid w:val="008A1DDE"/>
    <w:rsid w:val="008A207F"/>
    <w:rsid w:val="008A345E"/>
    <w:rsid w:val="008A4685"/>
    <w:rsid w:val="008A50AD"/>
    <w:rsid w:val="008A6059"/>
    <w:rsid w:val="008B0F60"/>
    <w:rsid w:val="008B0F8A"/>
    <w:rsid w:val="008B2418"/>
    <w:rsid w:val="008B3A42"/>
    <w:rsid w:val="008B4536"/>
    <w:rsid w:val="008B5DC5"/>
    <w:rsid w:val="008B61EC"/>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A6E"/>
    <w:rsid w:val="008D78E4"/>
    <w:rsid w:val="008E1EEF"/>
    <w:rsid w:val="008E3BCF"/>
    <w:rsid w:val="008E4B2E"/>
    <w:rsid w:val="008E540F"/>
    <w:rsid w:val="008E55CB"/>
    <w:rsid w:val="008E59EB"/>
    <w:rsid w:val="008E6AE1"/>
    <w:rsid w:val="008E760C"/>
    <w:rsid w:val="008F182E"/>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00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250"/>
    <w:rsid w:val="00926863"/>
    <w:rsid w:val="00926D7F"/>
    <w:rsid w:val="009307C9"/>
    <w:rsid w:val="0093086E"/>
    <w:rsid w:val="00931F08"/>
    <w:rsid w:val="00932230"/>
    <w:rsid w:val="0093344C"/>
    <w:rsid w:val="009338F2"/>
    <w:rsid w:val="00933F3C"/>
    <w:rsid w:val="00934657"/>
    <w:rsid w:val="009370E9"/>
    <w:rsid w:val="00937D9B"/>
    <w:rsid w:val="00940545"/>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CF8"/>
    <w:rsid w:val="009B0FA3"/>
    <w:rsid w:val="009B1BD5"/>
    <w:rsid w:val="009B2D9B"/>
    <w:rsid w:val="009B6A3E"/>
    <w:rsid w:val="009B6F1E"/>
    <w:rsid w:val="009B761C"/>
    <w:rsid w:val="009B7EAD"/>
    <w:rsid w:val="009C1A3E"/>
    <w:rsid w:val="009C2808"/>
    <w:rsid w:val="009C2DDC"/>
    <w:rsid w:val="009C38BC"/>
    <w:rsid w:val="009C397E"/>
    <w:rsid w:val="009C3C1D"/>
    <w:rsid w:val="009C3EE2"/>
    <w:rsid w:val="009C4798"/>
    <w:rsid w:val="009C4A32"/>
    <w:rsid w:val="009C4D10"/>
    <w:rsid w:val="009C5B4F"/>
    <w:rsid w:val="009C5CDD"/>
    <w:rsid w:val="009C6594"/>
    <w:rsid w:val="009C67FA"/>
    <w:rsid w:val="009C6906"/>
    <w:rsid w:val="009D0339"/>
    <w:rsid w:val="009D0A0C"/>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E7DCD"/>
    <w:rsid w:val="009F26F1"/>
    <w:rsid w:val="009F3542"/>
    <w:rsid w:val="009F56B4"/>
    <w:rsid w:val="009F5822"/>
    <w:rsid w:val="009F5970"/>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491"/>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61E"/>
    <w:rsid w:val="00A47C6E"/>
    <w:rsid w:val="00A501D9"/>
    <w:rsid w:val="00A503F1"/>
    <w:rsid w:val="00A51DEC"/>
    <w:rsid w:val="00A53328"/>
    <w:rsid w:val="00A53874"/>
    <w:rsid w:val="00A55B96"/>
    <w:rsid w:val="00A56BE5"/>
    <w:rsid w:val="00A56DE0"/>
    <w:rsid w:val="00A57E93"/>
    <w:rsid w:val="00A60DA8"/>
    <w:rsid w:val="00A6137C"/>
    <w:rsid w:val="00A615A6"/>
    <w:rsid w:val="00A623D0"/>
    <w:rsid w:val="00A631EB"/>
    <w:rsid w:val="00A636B5"/>
    <w:rsid w:val="00A711B3"/>
    <w:rsid w:val="00A71C2B"/>
    <w:rsid w:val="00A72E82"/>
    <w:rsid w:val="00A732B6"/>
    <w:rsid w:val="00A7556C"/>
    <w:rsid w:val="00A76423"/>
    <w:rsid w:val="00A773D0"/>
    <w:rsid w:val="00A77738"/>
    <w:rsid w:val="00A7786A"/>
    <w:rsid w:val="00A779A2"/>
    <w:rsid w:val="00A80131"/>
    <w:rsid w:val="00A818E6"/>
    <w:rsid w:val="00A81A71"/>
    <w:rsid w:val="00A82D57"/>
    <w:rsid w:val="00A84C61"/>
    <w:rsid w:val="00A8625C"/>
    <w:rsid w:val="00A86DFE"/>
    <w:rsid w:val="00A870CA"/>
    <w:rsid w:val="00A87442"/>
    <w:rsid w:val="00A90D91"/>
    <w:rsid w:val="00A93112"/>
    <w:rsid w:val="00A932DE"/>
    <w:rsid w:val="00A9656E"/>
    <w:rsid w:val="00A9696B"/>
    <w:rsid w:val="00AA186B"/>
    <w:rsid w:val="00AA38F6"/>
    <w:rsid w:val="00AA4965"/>
    <w:rsid w:val="00AA6DDB"/>
    <w:rsid w:val="00AB0830"/>
    <w:rsid w:val="00AB2CCC"/>
    <w:rsid w:val="00AB4F2C"/>
    <w:rsid w:val="00AB64F8"/>
    <w:rsid w:val="00AC14A5"/>
    <w:rsid w:val="00AC1BA6"/>
    <w:rsid w:val="00AC6ECF"/>
    <w:rsid w:val="00AC6F52"/>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345"/>
    <w:rsid w:val="00AE3CBD"/>
    <w:rsid w:val="00AE5D21"/>
    <w:rsid w:val="00AE7C5F"/>
    <w:rsid w:val="00AF08A8"/>
    <w:rsid w:val="00AF2019"/>
    <w:rsid w:val="00AF26B7"/>
    <w:rsid w:val="00AF30FD"/>
    <w:rsid w:val="00AF3C15"/>
    <w:rsid w:val="00AF3FC6"/>
    <w:rsid w:val="00AF4B5F"/>
    <w:rsid w:val="00AF5B6E"/>
    <w:rsid w:val="00AF720F"/>
    <w:rsid w:val="00AF7791"/>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D60"/>
    <w:rsid w:val="00B44FFE"/>
    <w:rsid w:val="00B45AE1"/>
    <w:rsid w:val="00B460A9"/>
    <w:rsid w:val="00B4642E"/>
    <w:rsid w:val="00B4729B"/>
    <w:rsid w:val="00B47C5E"/>
    <w:rsid w:val="00B50D6B"/>
    <w:rsid w:val="00B5110E"/>
    <w:rsid w:val="00B52EF3"/>
    <w:rsid w:val="00B534D5"/>
    <w:rsid w:val="00B536E6"/>
    <w:rsid w:val="00B54876"/>
    <w:rsid w:val="00B54999"/>
    <w:rsid w:val="00B56945"/>
    <w:rsid w:val="00B6017B"/>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1E3B"/>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CA7"/>
    <w:rsid w:val="00BC2F0B"/>
    <w:rsid w:val="00BC3206"/>
    <w:rsid w:val="00BC4832"/>
    <w:rsid w:val="00BC5451"/>
    <w:rsid w:val="00BC5744"/>
    <w:rsid w:val="00BC5B8A"/>
    <w:rsid w:val="00BC6191"/>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D51"/>
    <w:rsid w:val="00BF6E4C"/>
    <w:rsid w:val="00BF71E9"/>
    <w:rsid w:val="00BF71F1"/>
    <w:rsid w:val="00BF76DF"/>
    <w:rsid w:val="00BF7CB5"/>
    <w:rsid w:val="00C01031"/>
    <w:rsid w:val="00C01384"/>
    <w:rsid w:val="00C01AF9"/>
    <w:rsid w:val="00C0274C"/>
    <w:rsid w:val="00C02F33"/>
    <w:rsid w:val="00C06510"/>
    <w:rsid w:val="00C06950"/>
    <w:rsid w:val="00C1090B"/>
    <w:rsid w:val="00C10DD0"/>
    <w:rsid w:val="00C1194D"/>
    <w:rsid w:val="00C13017"/>
    <w:rsid w:val="00C13FBE"/>
    <w:rsid w:val="00C141CA"/>
    <w:rsid w:val="00C149A3"/>
    <w:rsid w:val="00C16C64"/>
    <w:rsid w:val="00C173CD"/>
    <w:rsid w:val="00C173DF"/>
    <w:rsid w:val="00C20109"/>
    <w:rsid w:val="00C20FC8"/>
    <w:rsid w:val="00C227D5"/>
    <w:rsid w:val="00C228DF"/>
    <w:rsid w:val="00C2454C"/>
    <w:rsid w:val="00C25F98"/>
    <w:rsid w:val="00C26156"/>
    <w:rsid w:val="00C26867"/>
    <w:rsid w:val="00C27879"/>
    <w:rsid w:val="00C30240"/>
    <w:rsid w:val="00C30C2F"/>
    <w:rsid w:val="00C3135C"/>
    <w:rsid w:val="00C3244D"/>
    <w:rsid w:val="00C33102"/>
    <w:rsid w:val="00C3337E"/>
    <w:rsid w:val="00C34930"/>
    <w:rsid w:val="00C34977"/>
    <w:rsid w:val="00C352FA"/>
    <w:rsid w:val="00C35794"/>
    <w:rsid w:val="00C36019"/>
    <w:rsid w:val="00C37B62"/>
    <w:rsid w:val="00C37D48"/>
    <w:rsid w:val="00C40234"/>
    <w:rsid w:val="00C4042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037"/>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2E6"/>
    <w:rsid w:val="00C81DE5"/>
    <w:rsid w:val="00C82860"/>
    <w:rsid w:val="00C837C9"/>
    <w:rsid w:val="00C8396C"/>
    <w:rsid w:val="00C84F1D"/>
    <w:rsid w:val="00C85DD9"/>
    <w:rsid w:val="00C85F5A"/>
    <w:rsid w:val="00C8618D"/>
    <w:rsid w:val="00C86ADF"/>
    <w:rsid w:val="00C870C0"/>
    <w:rsid w:val="00C90D06"/>
    <w:rsid w:val="00C93AD3"/>
    <w:rsid w:val="00C93F42"/>
    <w:rsid w:val="00C9418B"/>
    <w:rsid w:val="00C95D67"/>
    <w:rsid w:val="00C97222"/>
    <w:rsid w:val="00CA0DAE"/>
    <w:rsid w:val="00CA0E49"/>
    <w:rsid w:val="00CA1535"/>
    <w:rsid w:val="00CA17E6"/>
    <w:rsid w:val="00CA5087"/>
    <w:rsid w:val="00CA58EE"/>
    <w:rsid w:val="00CA7EEF"/>
    <w:rsid w:val="00CB1649"/>
    <w:rsid w:val="00CB179D"/>
    <w:rsid w:val="00CB1D22"/>
    <w:rsid w:val="00CB2238"/>
    <w:rsid w:val="00CB2A27"/>
    <w:rsid w:val="00CB3E5E"/>
    <w:rsid w:val="00CB4EBD"/>
    <w:rsid w:val="00CB6338"/>
    <w:rsid w:val="00CB76AA"/>
    <w:rsid w:val="00CB790E"/>
    <w:rsid w:val="00CC1407"/>
    <w:rsid w:val="00CC450D"/>
    <w:rsid w:val="00CC4FFC"/>
    <w:rsid w:val="00CC5328"/>
    <w:rsid w:val="00CC60E8"/>
    <w:rsid w:val="00CC77F9"/>
    <w:rsid w:val="00CC7CC0"/>
    <w:rsid w:val="00CD0735"/>
    <w:rsid w:val="00CD3D23"/>
    <w:rsid w:val="00CD42E0"/>
    <w:rsid w:val="00CD5322"/>
    <w:rsid w:val="00CD5934"/>
    <w:rsid w:val="00CD5F3D"/>
    <w:rsid w:val="00CD61C8"/>
    <w:rsid w:val="00CD6B26"/>
    <w:rsid w:val="00CD6DAC"/>
    <w:rsid w:val="00CE0CAF"/>
    <w:rsid w:val="00CE46AE"/>
    <w:rsid w:val="00CE5012"/>
    <w:rsid w:val="00CE6394"/>
    <w:rsid w:val="00CF01F9"/>
    <w:rsid w:val="00CF0A09"/>
    <w:rsid w:val="00CF12B7"/>
    <w:rsid w:val="00CF2B67"/>
    <w:rsid w:val="00CF2E7C"/>
    <w:rsid w:val="00CF3188"/>
    <w:rsid w:val="00CF31E5"/>
    <w:rsid w:val="00CF3B95"/>
    <w:rsid w:val="00CF4338"/>
    <w:rsid w:val="00CF5268"/>
    <w:rsid w:val="00CF57A6"/>
    <w:rsid w:val="00CF5976"/>
    <w:rsid w:val="00CF5D92"/>
    <w:rsid w:val="00D004AD"/>
    <w:rsid w:val="00D01B92"/>
    <w:rsid w:val="00D02935"/>
    <w:rsid w:val="00D029B2"/>
    <w:rsid w:val="00D02C80"/>
    <w:rsid w:val="00D02FA1"/>
    <w:rsid w:val="00D05628"/>
    <w:rsid w:val="00D056E9"/>
    <w:rsid w:val="00D07A89"/>
    <w:rsid w:val="00D12870"/>
    <w:rsid w:val="00D1407E"/>
    <w:rsid w:val="00D147C0"/>
    <w:rsid w:val="00D14CB1"/>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86"/>
    <w:rsid w:val="00D53F8D"/>
    <w:rsid w:val="00D547E6"/>
    <w:rsid w:val="00D56EA7"/>
    <w:rsid w:val="00D57AD5"/>
    <w:rsid w:val="00D6003F"/>
    <w:rsid w:val="00D60275"/>
    <w:rsid w:val="00D61D8F"/>
    <w:rsid w:val="00D637B2"/>
    <w:rsid w:val="00D6386F"/>
    <w:rsid w:val="00D66DDD"/>
    <w:rsid w:val="00D67EB7"/>
    <w:rsid w:val="00D70367"/>
    <w:rsid w:val="00D7554F"/>
    <w:rsid w:val="00D765DD"/>
    <w:rsid w:val="00D76854"/>
    <w:rsid w:val="00D77A4E"/>
    <w:rsid w:val="00D77F5E"/>
    <w:rsid w:val="00D80C46"/>
    <w:rsid w:val="00D8141F"/>
    <w:rsid w:val="00D818DF"/>
    <w:rsid w:val="00D825A8"/>
    <w:rsid w:val="00D83201"/>
    <w:rsid w:val="00D8337E"/>
    <w:rsid w:val="00D8345D"/>
    <w:rsid w:val="00D86E37"/>
    <w:rsid w:val="00D87651"/>
    <w:rsid w:val="00D9109A"/>
    <w:rsid w:val="00D91F15"/>
    <w:rsid w:val="00D91F2E"/>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A91"/>
    <w:rsid w:val="00DB2C4B"/>
    <w:rsid w:val="00DB2CAA"/>
    <w:rsid w:val="00DB4C6F"/>
    <w:rsid w:val="00DB61E7"/>
    <w:rsid w:val="00DB6C3C"/>
    <w:rsid w:val="00DC0665"/>
    <w:rsid w:val="00DC18A5"/>
    <w:rsid w:val="00DC1D8C"/>
    <w:rsid w:val="00DC231D"/>
    <w:rsid w:val="00DC31BF"/>
    <w:rsid w:val="00DC33EF"/>
    <w:rsid w:val="00DC4911"/>
    <w:rsid w:val="00DC546B"/>
    <w:rsid w:val="00DC6859"/>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09"/>
    <w:rsid w:val="00DF50B5"/>
    <w:rsid w:val="00DF6212"/>
    <w:rsid w:val="00DF6BF3"/>
    <w:rsid w:val="00DF6C42"/>
    <w:rsid w:val="00DF7242"/>
    <w:rsid w:val="00DF7DE6"/>
    <w:rsid w:val="00E020A8"/>
    <w:rsid w:val="00E02101"/>
    <w:rsid w:val="00E03122"/>
    <w:rsid w:val="00E03A10"/>
    <w:rsid w:val="00E03F7B"/>
    <w:rsid w:val="00E04A72"/>
    <w:rsid w:val="00E04C04"/>
    <w:rsid w:val="00E053A3"/>
    <w:rsid w:val="00E054E4"/>
    <w:rsid w:val="00E11F06"/>
    <w:rsid w:val="00E121D3"/>
    <w:rsid w:val="00E122B2"/>
    <w:rsid w:val="00E12745"/>
    <w:rsid w:val="00E12B4B"/>
    <w:rsid w:val="00E139A9"/>
    <w:rsid w:val="00E1559F"/>
    <w:rsid w:val="00E15DA1"/>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1F1"/>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E31"/>
    <w:rsid w:val="00E9266B"/>
    <w:rsid w:val="00E929F9"/>
    <w:rsid w:val="00E93807"/>
    <w:rsid w:val="00E94905"/>
    <w:rsid w:val="00E95DD6"/>
    <w:rsid w:val="00E969D1"/>
    <w:rsid w:val="00E96BB7"/>
    <w:rsid w:val="00E97C37"/>
    <w:rsid w:val="00E97D2E"/>
    <w:rsid w:val="00EA0025"/>
    <w:rsid w:val="00EA0BA6"/>
    <w:rsid w:val="00EA1CEC"/>
    <w:rsid w:val="00EA1D6A"/>
    <w:rsid w:val="00EA2C5B"/>
    <w:rsid w:val="00EA38F1"/>
    <w:rsid w:val="00EA4912"/>
    <w:rsid w:val="00EA4E12"/>
    <w:rsid w:val="00EA5D38"/>
    <w:rsid w:val="00EA65D9"/>
    <w:rsid w:val="00EA67B3"/>
    <w:rsid w:val="00EA734B"/>
    <w:rsid w:val="00EA7A7E"/>
    <w:rsid w:val="00EB023B"/>
    <w:rsid w:val="00EB2081"/>
    <w:rsid w:val="00EB2852"/>
    <w:rsid w:val="00EB2E05"/>
    <w:rsid w:val="00EB348F"/>
    <w:rsid w:val="00EB39B5"/>
    <w:rsid w:val="00EB3E07"/>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1AED"/>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6CC"/>
    <w:rsid w:val="00F10A6E"/>
    <w:rsid w:val="00F11111"/>
    <w:rsid w:val="00F1189D"/>
    <w:rsid w:val="00F11A81"/>
    <w:rsid w:val="00F11A8A"/>
    <w:rsid w:val="00F13A6D"/>
    <w:rsid w:val="00F14FDE"/>
    <w:rsid w:val="00F156A3"/>
    <w:rsid w:val="00F1597E"/>
    <w:rsid w:val="00F16329"/>
    <w:rsid w:val="00F17407"/>
    <w:rsid w:val="00F179A4"/>
    <w:rsid w:val="00F17DD1"/>
    <w:rsid w:val="00F20CF1"/>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F50"/>
    <w:rsid w:val="00F33485"/>
    <w:rsid w:val="00F3642C"/>
    <w:rsid w:val="00F3654A"/>
    <w:rsid w:val="00F365FD"/>
    <w:rsid w:val="00F36C5B"/>
    <w:rsid w:val="00F379DF"/>
    <w:rsid w:val="00F408F6"/>
    <w:rsid w:val="00F40E78"/>
    <w:rsid w:val="00F41680"/>
    <w:rsid w:val="00F41EE0"/>
    <w:rsid w:val="00F42C39"/>
    <w:rsid w:val="00F50537"/>
    <w:rsid w:val="00F511CC"/>
    <w:rsid w:val="00F51334"/>
    <w:rsid w:val="00F5203B"/>
    <w:rsid w:val="00F526AD"/>
    <w:rsid w:val="00F527B7"/>
    <w:rsid w:val="00F52E73"/>
    <w:rsid w:val="00F52F6F"/>
    <w:rsid w:val="00F53828"/>
    <w:rsid w:val="00F5517E"/>
    <w:rsid w:val="00F6006C"/>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26F"/>
    <w:rsid w:val="00F75726"/>
    <w:rsid w:val="00F7660F"/>
    <w:rsid w:val="00F768AD"/>
    <w:rsid w:val="00F76B75"/>
    <w:rsid w:val="00F774EE"/>
    <w:rsid w:val="00F77EB8"/>
    <w:rsid w:val="00F77F8D"/>
    <w:rsid w:val="00F80DAD"/>
    <w:rsid w:val="00F8493A"/>
    <w:rsid w:val="00F85F13"/>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A49"/>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C7B"/>
    <w:rsid w:val="01371002"/>
    <w:rsid w:val="014294FE"/>
    <w:rsid w:val="015A29D9"/>
    <w:rsid w:val="0174B8F2"/>
    <w:rsid w:val="01B6007C"/>
    <w:rsid w:val="01FCB513"/>
    <w:rsid w:val="020275F2"/>
    <w:rsid w:val="0211B47F"/>
    <w:rsid w:val="0225E32C"/>
    <w:rsid w:val="027C24DB"/>
    <w:rsid w:val="02F14BEE"/>
    <w:rsid w:val="0308FA2A"/>
    <w:rsid w:val="0309FD5E"/>
    <w:rsid w:val="0323C718"/>
    <w:rsid w:val="036DDA71"/>
    <w:rsid w:val="03D8A615"/>
    <w:rsid w:val="03E120AC"/>
    <w:rsid w:val="043B16D5"/>
    <w:rsid w:val="04546A8E"/>
    <w:rsid w:val="04931AA5"/>
    <w:rsid w:val="04BDA2DC"/>
    <w:rsid w:val="050BA7A1"/>
    <w:rsid w:val="055D3A24"/>
    <w:rsid w:val="05AD2A3D"/>
    <w:rsid w:val="05E4EB80"/>
    <w:rsid w:val="0612B92A"/>
    <w:rsid w:val="06479D6F"/>
    <w:rsid w:val="065CB9A9"/>
    <w:rsid w:val="066BBD39"/>
    <w:rsid w:val="06B180B1"/>
    <w:rsid w:val="06C4E960"/>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ACDE7E"/>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DDB0C7F"/>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3419A"/>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14065"/>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1DE3C8"/>
    <w:rsid w:val="3146848D"/>
    <w:rsid w:val="316CC60E"/>
    <w:rsid w:val="31DAE0A5"/>
    <w:rsid w:val="31DDD2BE"/>
    <w:rsid w:val="31EFE36B"/>
    <w:rsid w:val="31F8F7E3"/>
    <w:rsid w:val="321677A9"/>
    <w:rsid w:val="323522BA"/>
    <w:rsid w:val="328BBA3F"/>
    <w:rsid w:val="32A08251"/>
    <w:rsid w:val="32ADCF0D"/>
    <w:rsid w:val="335AE262"/>
    <w:rsid w:val="335D8961"/>
    <w:rsid w:val="33822AF7"/>
    <w:rsid w:val="338D5E08"/>
    <w:rsid w:val="33C18E62"/>
    <w:rsid w:val="33CE951E"/>
    <w:rsid w:val="33D223DA"/>
    <w:rsid w:val="33F1549E"/>
    <w:rsid w:val="340B5C50"/>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AD42DE"/>
    <w:rsid w:val="39C436BC"/>
    <w:rsid w:val="39CCE799"/>
    <w:rsid w:val="39F69C43"/>
    <w:rsid w:val="3A59A328"/>
    <w:rsid w:val="3AB857BD"/>
    <w:rsid w:val="3AFADE61"/>
    <w:rsid w:val="3AFC104E"/>
    <w:rsid w:val="3B3AA81C"/>
    <w:rsid w:val="3B4846B5"/>
    <w:rsid w:val="3B48D9E1"/>
    <w:rsid w:val="3B5CCF04"/>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28350B"/>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CBC4173"/>
    <w:rsid w:val="4D6CB5CF"/>
    <w:rsid w:val="4D760FA2"/>
    <w:rsid w:val="4DB37933"/>
    <w:rsid w:val="4E0874FD"/>
    <w:rsid w:val="4E1D2C26"/>
    <w:rsid w:val="4EB5ADDD"/>
    <w:rsid w:val="4F0B5A3C"/>
    <w:rsid w:val="4F2D4A24"/>
    <w:rsid w:val="4F5B9285"/>
    <w:rsid w:val="4FD59268"/>
    <w:rsid w:val="5050805E"/>
    <w:rsid w:val="505B5F7E"/>
    <w:rsid w:val="50653F80"/>
    <w:rsid w:val="51273A55"/>
    <w:rsid w:val="51615AD7"/>
    <w:rsid w:val="5195A27A"/>
    <w:rsid w:val="51AF91B5"/>
    <w:rsid w:val="51BDF2FE"/>
    <w:rsid w:val="51DE1091"/>
    <w:rsid w:val="5200408B"/>
    <w:rsid w:val="5223099B"/>
    <w:rsid w:val="525CDBAF"/>
    <w:rsid w:val="52E52314"/>
    <w:rsid w:val="52E65937"/>
    <w:rsid w:val="5305CF70"/>
    <w:rsid w:val="531F63E1"/>
    <w:rsid w:val="53655782"/>
    <w:rsid w:val="536943C7"/>
    <w:rsid w:val="53901A2C"/>
    <w:rsid w:val="5390DC6D"/>
    <w:rsid w:val="53B5CD0B"/>
    <w:rsid w:val="53B8A153"/>
    <w:rsid w:val="53C56585"/>
    <w:rsid w:val="53CB2A7E"/>
    <w:rsid w:val="53E73690"/>
    <w:rsid w:val="5437DE5E"/>
    <w:rsid w:val="54394EA8"/>
    <w:rsid w:val="547EE055"/>
    <w:rsid w:val="54BA7D9E"/>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0B9F7"/>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7797E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4A6678"/>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ED5563AA-97ED-4F50-B282-8205F93D3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907175">
      <w:bodyDiv w:val="1"/>
      <w:marLeft w:val="0"/>
      <w:marRight w:val="0"/>
      <w:marTop w:val="0"/>
      <w:marBottom w:val="0"/>
      <w:divBdr>
        <w:top w:val="none" w:sz="0" w:space="0" w:color="auto"/>
        <w:left w:val="none" w:sz="0" w:space="0" w:color="auto"/>
        <w:bottom w:val="none" w:sz="0" w:space="0" w:color="auto"/>
        <w:right w:val="none" w:sz="0" w:space="0" w:color="auto"/>
      </w:divBdr>
      <w:divsChild>
        <w:div w:id="1053314584">
          <w:marLeft w:val="0"/>
          <w:marRight w:val="0"/>
          <w:marTop w:val="0"/>
          <w:marBottom w:val="0"/>
          <w:divBdr>
            <w:top w:val="none" w:sz="0" w:space="0" w:color="auto"/>
            <w:left w:val="none" w:sz="0" w:space="0" w:color="auto"/>
            <w:bottom w:val="none" w:sz="0" w:space="0" w:color="auto"/>
            <w:right w:val="none" w:sz="0" w:space="0" w:color="auto"/>
          </w:divBdr>
          <w:divsChild>
            <w:div w:id="664623946">
              <w:marLeft w:val="0"/>
              <w:marRight w:val="0"/>
              <w:marTop w:val="0"/>
              <w:marBottom w:val="0"/>
              <w:divBdr>
                <w:top w:val="none" w:sz="0" w:space="0" w:color="auto"/>
                <w:left w:val="none" w:sz="0" w:space="0" w:color="auto"/>
                <w:bottom w:val="none" w:sz="0" w:space="0" w:color="auto"/>
                <w:right w:val="none" w:sz="0" w:space="0" w:color="auto"/>
              </w:divBdr>
              <w:divsChild>
                <w:div w:id="199245015">
                  <w:marLeft w:val="0"/>
                  <w:marRight w:val="0"/>
                  <w:marTop w:val="0"/>
                  <w:marBottom w:val="0"/>
                  <w:divBdr>
                    <w:top w:val="none" w:sz="0" w:space="0" w:color="auto"/>
                    <w:left w:val="none" w:sz="0" w:space="0" w:color="auto"/>
                    <w:bottom w:val="none" w:sz="0" w:space="0" w:color="auto"/>
                    <w:right w:val="none" w:sz="0" w:space="0" w:color="auto"/>
                  </w:divBdr>
                  <w:divsChild>
                    <w:div w:id="528564132">
                      <w:marLeft w:val="0"/>
                      <w:marRight w:val="0"/>
                      <w:marTop w:val="0"/>
                      <w:marBottom w:val="0"/>
                      <w:divBdr>
                        <w:top w:val="none" w:sz="0" w:space="0" w:color="auto"/>
                        <w:left w:val="none" w:sz="0" w:space="0" w:color="auto"/>
                        <w:bottom w:val="none" w:sz="0" w:space="0" w:color="auto"/>
                        <w:right w:val="none" w:sz="0" w:space="0" w:color="auto"/>
                      </w:divBdr>
                      <w:divsChild>
                        <w:div w:id="948198334">
                          <w:marLeft w:val="0"/>
                          <w:marRight w:val="0"/>
                          <w:marTop w:val="0"/>
                          <w:marBottom w:val="0"/>
                          <w:divBdr>
                            <w:top w:val="none" w:sz="0" w:space="0" w:color="auto"/>
                            <w:left w:val="none" w:sz="0" w:space="0" w:color="auto"/>
                            <w:bottom w:val="none" w:sz="0" w:space="0" w:color="auto"/>
                            <w:right w:val="none" w:sz="0" w:space="0" w:color="auto"/>
                          </w:divBdr>
                          <w:divsChild>
                            <w:div w:id="2048212591">
                              <w:marLeft w:val="0"/>
                              <w:marRight w:val="0"/>
                              <w:marTop w:val="0"/>
                              <w:marBottom w:val="0"/>
                              <w:divBdr>
                                <w:top w:val="none" w:sz="0" w:space="0" w:color="auto"/>
                                <w:left w:val="none" w:sz="0" w:space="0" w:color="auto"/>
                                <w:bottom w:val="none" w:sz="0" w:space="0" w:color="auto"/>
                                <w:right w:val="none" w:sz="0" w:space="0" w:color="auto"/>
                              </w:divBdr>
                              <w:divsChild>
                                <w:div w:id="360783200">
                                  <w:marLeft w:val="0"/>
                                  <w:marRight w:val="0"/>
                                  <w:marTop w:val="0"/>
                                  <w:marBottom w:val="0"/>
                                  <w:divBdr>
                                    <w:top w:val="none" w:sz="0" w:space="0" w:color="auto"/>
                                    <w:left w:val="none" w:sz="0" w:space="0" w:color="auto"/>
                                    <w:bottom w:val="none" w:sz="0" w:space="0" w:color="auto"/>
                                    <w:right w:val="none" w:sz="0" w:space="0" w:color="auto"/>
                                  </w:divBdr>
                                  <w:divsChild>
                                    <w:div w:id="2055156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4540079">
      <w:bodyDiv w:val="1"/>
      <w:marLeft w:val="0"/>
      <w:marRight w:val="0"/>
      <w:marTop w:val="0"/>
      <w:marBottom w:val="0"/>
      <w:divBdr>
        <w:top w:val="none" w:sz="0" w:space="0" w:color="auto"/>
        <w:left w:val="none" w:sz="0" w:space="0" w:color="auto"/>
        <w:bottom w:val="none" w:sz="0" w:space="0" w:color="auto"/>
        <w:right w:val="none" w:sz="0" w:space="0" w:color="auto"/>
      </w:divBdr>
    </w:div>
    <w:div w:id="165023500">
      <w:bodyDiv w:val="1"/>
      <w:marLeft w:val="0"/>
      <w:marRight w:val="0"/>
      <w:marTop w:val="0"/>
      <w:marBottom w:val="0"/>
      <w:divBdr>
        <w:top w:val="none" w:sz="0" w:space="0" w:color="auto"/>
        <w:left w:val="none" w:sz="0" w:space="0" w:color="auto"/>
        <w:bottom w:val="none" w:sz="0" w:space="0" w:color="auto"/>
        <w:right w:val="none" w:sz="0" w:space="0" w:color="auto"/>
      </w:divBdr>
      <w:divsChild>
        <w:div w:id="1018198351">
          <w:marLeft w:val="0"/>
          <w:marRight w:val="0"/>
          <w:marTop w:val="0"/>
          <w:marBottom w:val="0"/>
          <w:divBdr>
            <w:top w:val="none" w:sz="0" w:space="0" w:color="auto"/>
            <w:left w:val="none" w:sz="0" w:space="0" w:color="auto"/>
            <w:bottom w:val="none" w:sz="0" w:space="0" w:color="auto"/>
            <w:right w:val="none" w:sz="0" w:space="0" w:color="auto"/>
          </w:divBdr>
          <w:divsChild>
            <w:div w:id="82461882">
              <w:marLeft w:val="0"/>
              <w:marRight w:val="0"/>
              <w:marTop w:val="0"/>
              <w:marBottom w:val="0"/>
              <w:divBdr>
                <w:top w:val="none" w:sz="0" w:space="0" w:color="auto"/>
                <w:left w:val="none" w:sz="0" w:space="0" w:color="auto"/>
                <w:bottom w:val="none" w:sz="0" w:space="0" w:color="auto"/>
                <w:right w:val="none" w:sz="0" w:space="0" w:color="auto"/>
              </w:divBdr>
              <w:divsChild>
                <w:div w:id="1370185081">
                  <w:marLeft w:val="0"/>
                  <w:marRight w:val="0"/>
                  <w:marTop w:val="0"/>
                  <w:marBottom w:val="0"/>
                  <w:divBdr>
                    <w:top w:val="none" w:sz="0" w:space="0" w:color="auto"/>
                    <w:left w:val="none" w:sz="0" w:space="0" w:color="auto"/>
                    <w:bottom w:val="none" w:sz="0" w:space="0" w:color="auto"/>
                    <w:right w:val="none" w:sz="0" w:space="0" w:color="auto"/>
                  </w:divBdr>
                  <w:divsChild>
                    <w:div w:id="1422489444">
                      <w:marLeft w:val="0"/>
                      <w:marRight w:val="0"/>
                      <w:marTop w:val="0"/>
                      <w:marBottom w:val="0"/>
                      <w:divBdr>
                        <w:top w:val="none" w:sz="0" w:space="0" w:color="auto"/>
                        <w:left w:val="none" w:sz="0" w:space="0" w:color="auto"/>
                        <w:bottom w:val="none" w:sz="0" w:space="0" w:color="auto"/>
                        <w:right w:val="none" w:sz="0" w:space="0" w:color="auto"/>
                      </w:divBdr>
                      <w:divsChild>
                        <w:div w:id="22633541">
                          <w:marLeft w:val="0"/>
                          <w:marRight w:val="0"/>
                          <w:marTop w:val="0"/>
                          <w:marBottom w:val="0"/>
                          <w:divBdr>
                            <w:top w:val="none" w:sz="0" w:space="0" w:color="auto"/>
                            <w:left w:val="none" w:sz="0" w:space="0" w:color="auto"/>
                            <w:bottom w:val="none" w:sz="0" w:space="0" w:color="auto"/>
                            <w:right w:val="none" w:sz="0" w:space="0" w:color="auto"/>
                          </w:divBdr>
                          <w:divsChild>
                            <w:div w:id="694504760">
                              <w:marLeft w:val="0"/>
                              <w:marRight w:val="0"/>
                              <w:marTop w:val="0"/>
                              <w:marBottom w:val="0"/>
                              <w:divBdr>
                                <w:top w:val="none" w:sz="0" w:space="0" w:color="auto"/>
                                <w:left w:val="none" w:sz="0" w:space="0" w:color="auto"/>
                                <w:bottom w:val="none" w:sz="0" w:space="0" w:color="auto"/>
                                <w:right w:val="none" w:sz="0" w:space="0" w:color="auto"/>
                              </w:divBdr>
                              <w:divsChild>
                                <w:div w:id="2142453649">
                                  <w:marLeft w:val="0"/>
                                  <w:marRight w:val="0"/>
                                  <w:marTop w:val="0"/>
                                  <w:marBottom w:val="0"/>
                                  <w:divBdr>
                                    <w:top w:val="none" w:sz="0" w:space="0" w:color="auto"/>
                                    <w:left w:val="none" w:sz="0" w:space="0" w:color="auto"/>
                                    <w:bottom w:val="none" w:sz="0" w:space="0" w:color="auto"/>
                                    <w:right w:val="none" w:sz="0" w:space="0" w:color="auto"/>
                                  </w:divBdr>
                                  <w:divsChild>
                                    <w:div w:id="149488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5668752">
      <w:bodyDiv w:val="1"/>
      <w:marLeft w:val="0"/>
      <w:marRight w:val="0"/>
      <w:marTop w:val="0"/>
      <w:marBottom w:val="0"/>
      <w:divBdr>
        <w:top w:val="none" w:sz="0" w:space="0" w:color="auto"/>
        <w:left w:val="none" w:sz="0" w:space="0" w:color="auto"/>
        <w:bottom w:val="none" w:sz="0" w:space="0" w:color="auto"/>
        <w:right w:val="none" w:sz="0" w:space="0" w:color="auto"/>
      </w:divBdr>
      <w:divsChild>
        <w:div w:id="17560485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5014138">
      <w:bodyDiv w:val="1"/>
      <w:marLeft w:val="0"/>
      <w:marRight w:val="0"/>
      <w:marTop w:val="0"/>
      <w:marBottom w:val="0"/>
      <w:divBdr>
        <w:top w:val="none" w:sz="0" w:space="0" w:color="auto"/>
        <w:left w:val="none" w:sz="0" w:space="0" w:color="auto"/>
        <w:bottom w:val="none" w:sz="0" w:space="0" w:color="auto"/>
        <w:right w:val="none" w:sz="0" w:space="0" w:color="auto"/>
      </w:divBdr>
      <w:divsChild>
        <w:div w:id="20855639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471052">
      <w:bodyDiv w:val="1"/>
      <w:marLeft w:val="0"/>
      <w:marRight w:val="0"/>
      <w:marTop w:val="0"/>
      <w:marBottom w:val="0"/>
      <w:divBdr>
        <w:top w:val="none" w:sz="0" w:space="0" w:color="auto"/>
        <w:left w:val="none" w:sz="0" w:space="0" w:color="auto"/>
        <w:bottom w:val="none" w:sz="0" w:space="0" w:color="auto"/>
        <w:right w:val="none" w:sz="0" w:space="0" w:color="auto"/>
      </w:divBdr>
    </w:div>
    <w:div w:id="1454981271">
      <w:bodyDiv w:val="1"/>
      <w:marLeft w:val="0"/>
      <w:marRight w:val="0"/>
      <w:marTop w:val="0"/>
      <w:marBottom w:val="0"/>
      <w:divBdr>
        <w:top w:val="none" w:sz="0" w:space="0" w:color="auto"/>
        <w:left w:val="none" w:sz="0" w:space="0" w:color="auto"/>
        <w:bottom w:val="none" w:sz="0" w:space="0" w:color="auto"/>
        <w:right w:val="none" w:sz="0" w:space="0" w:color="auto"/>
      </w:divBdr>
    </w:div>
    <w:div w:id="1743404374">
      <w:bodyDiv w:val="1"/>
      <w:marLeft w:val="0"/>
      <w:marRight w:val="0"/>
      <w:marTop w:val="0"/>
      <w:marBottom w:val="0"/>
      <w:divBdr>
        <w:top w:val="none" w:sz="0" w:space="0" w:color="auto"/>
        <w:left w:val="none" w:sz="0" w:space="0" w:color="auto"/>
        <w:bottom w:val="none" w:sz="0" w:space="0" w:color="auto"/>
        <w:right w:val="none" w:sz="0" w:space="0" w:color="auto"/>
      </w:divBdr>
      <w:divsChild>
        <w:div w:id="10163456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211072">
      <w:bodyDiv w:val="1"/>
      <w:marLeft w:val="0"/>
      <w:marRight w:val="0"/>
      <w:marTop w:val="0"/>
      <w:marBottom w:val="0"/>
      <w:divBdr>
        <w:top w:val="none" w:sz="0" w:space="0" w:color="auto"/>
        <w:left w:val="none" w:sz="0" w:space="0" w:color="auto"/>
        <w:bottom w:val="none" w:sz="0" w:space="0" w:color="auto"/>
        <w:right w:val="none" w:sz="0" w:space="0" w:color="auto"/>
      </w:divBdr>
      <w:divsChild>
        <w:div w:id="19560581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609190218/https://www.bddk.org.tr/Mevzuat/DokumanGetir/1041"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0" Type="http://schemas.openxmlformats.org/officeDocument/2006/relationships/hyperlink" Target="https://www.bis.org/fsi/fsibriefs18.pdf" TargetMode="Externa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eb.archive.org/web/20250602231931/http://mevzuat.gov.tr/MevzuatMetin/1.5.5411.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Belge" ma:contentTypeID="0x0101009ABF40DF24CAFA488FEE276796BF2C20" ma:contentTypeVersion="37" ma:contentTypeDescription="Yeni belge oluşturun." ma:contentTypeScope="" ma:versionID="cab6473280e943dbc8ad83bef7ea3a7e">
  <xsd:schema xmlns:xsd="http://www.w3.org/2001/XMLSchema" xmlns:xs="http://www.w3.org/2001/XMLSchema" xmlns:p="http://schemas.microsoft.com/office/2006/metadata/properties" xmlns:ns2="179c9df7-bfec-4257-afe4-54792d6740de" xmlns:ns3="6959f927-86e6-4409-9072-99cd7240dcc0" xmlns:ns4="4ac0b8a0-ba54-445b-b740-0151bc5fb9d7" targetNamespace="http://schemas.microsoft.com/office/2006/metadata/properties" ma:root="true" ma:fieldsID="52e00ce0b2481f6be71fbd9044d3fd9a" ns2:_="" ns3:_="" ns4:_="">
    <xsd:import namespace="179c9df7-bfec-4257-afe4-54792d6740de"/>
    <xsd:import namespace="6959f927-86e6-4409-9072-99cd7240dcc0"/>
    <xsd:import namespace="4ac0b8a0-ba54-445b-b740-0151bc5fb9d7"/>
    <xsd:element name="properties">
      <xsd:complexType>
        <xsd:sequence>
          <xsd:element name="documentManagement">
            <xsd:complexType>
              <xsd:all>
                <xsd:element ref="ns2:_dlc_DocId" minOccurs="0"/>
                <xsd:element ref="ns2:_dlc_DocIdUrl" minOccurs="0"/>
                <xsd:element ref="ns2:_dlc_DocIdPersistId" minOccurs="0"/>
                <xsd:element ref="ns3:subject" minOccurs="0"/>
                <xsd:element ref="ns3:belge_id" minOccurs="0"/>
                <xsd:element ref="ns3:muvekkil_id" minOccurs="0"/>
                <xsd:element ref="ns3:muvekkil" minOccurs="0"/>
                <xsd:element ref="ns3:dosya_id" minOccurs="0"/>
                <xsd:element ref="ns3:dosya" minOccurs="0"/>
                <xsd:element ref="ns3:belge_tipi" minOccurs="0"/>
                <xsd:element ref="ns3:belge_turu" minOccurs="0"/>
                <xsd:element ref="ns3:belge_tarihi" minOccurs="0"/>
                <xsd:element ref="ns3:item_type" minOccurs="0"/>
                <xsd:element ref="ns3:MediaServiceMetadata" minOccurs="0"/>
                <xsd:element ref="ns3:MediaServiceFastMetadata" minOccurs="0"/>
                <xsd:element ref="ns3:MediaServiceAutoTags" minOccurs="0"/>
                <xsd:element ref="ns3:MediaServiceOCR" minOccurs="0"/>
                <xsd:element ref="ns3:MediaServiceDateTaken" minOccurs="0"/>
                <xsd:element ref="ns2:SharedWithUsers" minOccurs="0"/>
                <xsd:element ref="ns2:SharedWithDetails"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lcf76f155ced4ddcb4097134ff3c332f" minOccurs="0"/>
                <xsd:element ref="ns4:TaxCatchAll" minOccurs="0"/>
                <xsd:element ref="ns3:MediaServiceObjectDetectorVersions" minOccurs="0"/>
                <xsd:element ref="ns3:MediaServiceSearchProperties" minOccurs="0"/>
                <xsd:element ref="ns3:Name" minOccurs="0"/>
                <xsd:element ref="ns3:Date" minOccurs="0"/>
                <xsd:element ref="ns3:ClientName" minOccurs="0"/>
                <xsd:element ref="ns3:ClientID" minOccurs="0"/>
                <xsd:element ref="ns3:MatterName" minOccurs="0"/>
                <xsd:element ref="ns3:MatterID" minOccurs="0"/>
                <xsd:element ref="ns3:Category" minOccurs="0"/>
                <xsd:element ref="ns3:DocumentID" minOccurs="0"/>
                <xsd:element ref="ns3:VersionID" minOccurs="0"/>
                <xsd:element ref="ns3:Version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c9df7-bfec-4257-afe4-54792d6740de" elementFormDefault="qualified">
    <xsd:import namespace="http://schemas.microsoft.com/office/2006/documentManagement/types"/>
    <xsd:import namespace="http://schemas.microsoft.com/office/infopath/2007/PartnerControls"/>
    <xsd:element name="_dlc_DocId" ma:index="8" nillable="true" ma:displayName="Belge Kimliği Değeri" ma:description="Bu öğeye atanan belge kimliğinin değeri." ma:internalName="_dlc_DocId" ma:readOnly="true">
      <xsd:simpleType>
        <xsd:restriction base="dms:Text"/>
      </xsd:simpleType>
    </xsd:element>
    <xsd:element name="_dlc_DocIdUrl" ma:index="9" nillable="true" ma:displayName="Belge Kimliği" ma:description="Bu belgeye yönelik kalıcı bağlantı."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Kalıcı Kimlik" ma:description="Eklerken kimliği koru." ma:hidden="true" ma:internalName="_dlc_DocIdPersistId" ma:readOnly="true">
      <xsd:simpleType>
        <xsd:restriction base="dms:Boolean"/>
      </xsd:simpleType>
    </xsd:element>
    <xsd:element name="SharedWithUsers" ma:index="26"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Ayrıntıları ile Paylaşıldı"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959f927-86e6-4409-9072-99cd7240dcc0" elementFormDefault="qualified">
    <xsd:import namespace="http://schemas.microsoft.com/office/2006/documentManagement/types"/>
    <xsd:import namespace="http://schemas.microsoft.com/office/infopath/2007/PartnerControls"/>
    <xsd:element name="subject" ma:index="11" nillable="true" ma:displayName="Başlık" ma:indexed="true" ma:internalName="subject">
      <xsd:simpleType>
        <xsd:restriction base="dms:Text"/>
      </xsd:simpleType>
    </xsd:element>
    <xsd:element name="belge_id" ma:index="12" nillable="true" ma:displayName="Belge Id" ma:decimals="0" ma:hidden="true" ma:indexed="true" ma:internalName="belge_id" ma:percentage="FALSE">
      <xsd:simpleType>
        <xsd:restriction base="dms:Number">
          <xsd:minInclusive value="0"/>
        </xsd:restriction>
      </xsd:simpleType>
    </xsd:element>
    <xsd:element name="muvekkil_id" ma:index="13" nillable="true" ma:displayName="Müvekkil Id" ma:decimals="0" ma:hidden="true" ma:indexed="true" ma:internalName="muvekkil_id" ma:percentage="FALSE">
      <xsd:simpleType>
        <xsd:restriction base="dms:Number">
          <xsd:minInclusive value="0"/>
        </xsd:restriction>
      </xsd:simpleType>
    </xsd:element>
    <xsd:element name="muvekkil" ma:index="14" nillable="true" ma:displayName="Müvekkil İsmi" ma:indexed="true" ma:internalName="muvekkil">
      <xsd:simpleType>
        <xsd:restriction base="dms:Text"/>
      </xsd:simpleType>
    </xsd:element>
    <xsd:element name="dosya_id" ma:index="15" nillable="true" ma:displayName="Dosya Id" ma:decimals="0" ma:hidden="true" ma:indexed="true" ma:internalName="dosya_id" ma:percentage="FALSE">
      <xsd:simpleType>
        <xsd:restriction base="dms:Number">
          <xsd:minInclusive value="0"/>
        </xsd:restriction>
      </xsd:simpleType>
    </xsd:element>
    <xsd:element name="dosya" ma:index="16" nillable="true" ma:displayName="Dosya Adı" ma:indexed="true" ma:internalName="dosya">
      <xsd:simpleType>
        <xsd:restriction base="dms:Text"/>
      </xsd:simpleType>
    </xsd:element>
    <xsd:element name="belge_tipi" ma:index="17" nillable="true" ma:displayName="Belge Tipi" ma:internalName="belge_tipi">
      <xsd:simpleType>
        <xsd:restriction base="dms:Text"/>
      </xsd:simpleType>
    </xsd:element>
    <xsd:element name="belge_turu" ma:index="18" nillable="true" ma:displayName="Belge Türü" ma:internalName="belge_turu">
      <xsd:simpleType>
        <xsd:restriction base="dms:Text"/>
      </xsd:simpleType>
    </xsd:element>
    <xsd:element name="belge_tarihi" ma:index="19" nillable="true" ma:displayName="Belge Tarihi" ma:format="DateOnly" ma:indexed="true" ma:internalName="belge_tarihi">
      <xsd:simpleType>
        <xsd:restriction base="dms:DateTime"/>
      </xsd:simpleType>
    </xsd:element>
    <xsd:element name="item_type" ma:index="20" nillable="true" ma:displayName="Item Type" ma:hidden="true" ma:internalName="item_type">
      <xsd:simpleType>
        <xsd:restriction base="dms:Text"/>
      </xsd:simpleType>
    </xsd:element>
    <xsd:element name="MediaServiceMetadata" ma:index="21" nillable="true" ma:displayName="MediaServiceMetadata" ma:hidden="true" ma:internalName="MediaServiceMetadata" ma:readOnly="true">
      <xsd:simpleType>
        <xsd:restriction base="dms:Note"/>
      </xsd:simpleType>
    </xsd:element>
    <xsd:element name="MediaServiceFastMetadata" ma:index="22" nillable="true" ma:displayName="MediaServiceFastMetadata" ma:hidden="true" ma:internalName="MediaServiceFastMetadata" ma:readOnly="true">
      <xsd:simpleType>
        <xsd:restriction base="dms:Note"/>
      </xsd:simpleType>
    </xsd:element>
    <xsd:element name="MediaServiceAutoTags" ma:index="23" nillable="true" ma:displayName="Tags" ma:internalName="MediaServiceAutoTags" ma:readOnly="true">
      <xsd:simpleType>
        <xsd:restriction base="dms:Text"/>
      </xsd:simpleType>
    </xsd:element>
    <xsd:element name="MediaServiceOCR" ma:index="24" nillable="true" ma:displayName="Extracted Text" ma:internalName="MediaServiceOCR" ma:readOnly="true">
      <xsd:simpleType>
        <xsd:restriction base="dms:Note">
          <xsd:maxLength value="255"/>
        </xsd:restriction>
      </xsd:simpleType>
    </xsd:element>
    <xsd:element name="MediaServiceDateTaken" ma:index="25" nillable="true" ma:displayName="MediaServiceDateTaken" ma:hidden="true" ma:internalName="MediaServiceDateTaken" ma:readOnly="true">
      <xsd:simpleType>
        <xsd:restriction base="dms:Text"/>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element name="MediaServiceLocation" ma:index="32" nillable="true" ma:displayName="Location" ma:internalName="MediaServiceLocation" ma:readOnly="true">
      <xsd:simpleType>
        <xsd:restriction base="dms:Text"/>
      </xsd:simpleType>
    </xsd:element>
    <xsd:element name="lcf76f155ced4ddcb4097134ff3c332f" ma:index="34" nillable="true" ma:taxonomy="true" ma:internalName="lcf76f155ced4ddcb4097134ff3c332f" ma:taxonomyFieldName="MediaServiceImageTags" ma:displayName="Resim Etiketleri" ma:readOnly="false" ma:fieldId="{5cf76f15-5ced-4ddc-b409-7134ff3c332f}" ma:taxonomyMulti="true" ma:sspId="418c54c4-3fe2-4da3-a3ed-58a9693858c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7" nillable="true" ma:displayName="MediaServiceSearchProperties" ma:hidden="true" ma:internalName="MediaServiceSearchProperties" ma:readOnly="true">
      <xsd:simpleType>
        <xsd:restriction base="dms:Note"/>
      </xsd:simpleType>
    </xsd:element>
    <xsd:element name="Name" ma:index="38" nillable="true" ma:displayName="Name" ma:description="Name" ma:format="Dropdown" ma:internalName="Name">
      <xsd:simpleType>
        <xsd:restriction base="dms:Text">
          <xsd:maxLength value="255"/>
        </xsd:restriction>
      </xsd:simpleType>
    </xsd:element>
    <xsd:element name="Date" ma:index="39" nillable="true" ma:displayName="Date" ma:description="Date" ma:format="DateOnly" ma:internalName="Date">
      <xsd:simpleType>
        <xsd:restriction base="dms:DateTime"/>
      </xsd:simpleType>
    </xsd:element>
    <xsd:element name="ClientName" ma:index="40" nillable="true" ma:displayName="ClientName" ma:description="ClientName" ma:format="Dropdown" ma:internalName="ClientName">
      <xsd:simpleType>
        <xsd:restriction base="dms:Text">
          <xsd:maxLength value="255"/>
        </xsd:restriction>
      </xsd:simpleType>
    </xsd:element>
    <xsd:element name="ClientID" ma:index="41" nillable="true" ma:displayName="ClientID" ma:description="ClientID" ma:format="Dropdown" ma:internalName="ClientID">
      <xsd:simpleType>
        <xsd:restriction base="dms:Text">
          <xsd:maxLength value="255"/>
        </xsd:restriction>
      </xsd:simpleType>
    </xsd:element>
    <xsd:element name="MatterName" ma:index="42" nillable="true" ma:displayName="MatterName" ma:description="MatterName" ma:format="Dropdown" ma:internalName="MatterName">
      <xsd:simpleType>
        <xsd:restriction base="dms:Text">
          <xsd:maxLength value="255"/>
        </xsd:restriction>
      </xsd:simpleType>
    </xsd:element>
    <xsd:element name="MatterID" ma:index="43" nillable="true" ma:displayName="MatterID" ma:description="MatterID" ma:format="Dropdown" ma:internalName="MatterID">
      <xsd:simpleType>
        <xsd:restriction base="dms:Text">
          <xsd:maxLength value="255"/>
        </xsd:restriction>
      </xsd:simpleType>
    </xsd:element>
    <xsd:element name="Category" ma:index="44" nillable="true" ma:displayName="Category" ma:description="Category" ma:format="Dropdown" ma:internalName="Category">
      <xsd:simpleType>
        <xsd:restriction base="dms:Text">
          <xsd:maxLength value="255"/>
        </xsd:restriction>
      </xsd:simpleType>
    </xsd:element>
    <xsd:element name="DocumentID" ma:index="45" nillable="true" ma:displayName="DocumentID" ma:description="DocumentID" ma:format="Dropdown" ma:internalName="DocumentID">
      <xsd:simpleType>
        <xsd:restriction base="dms:Text">
          <xsd:maxLength value="255"/>
        </xsd:restriction>
      </xsd:simpleType>
    </xsd:element>
    <xsd:element name="VersionID" ma:index="46" nillable="true" ma:displayName="VersionID" ma:description="VersionID" ma:format="Dropdown" ma:internalName="VersionID">
      <xsd:simpleType>
        <xsd:restriction base="dms:Text">
          <xsd:maxLength value="255"/>
        </xsd:restriction>
      </xsd:simpleType>
    </xsd:element>
    <xsd:element name="VersionNo" ma:index="47" nillable="true" ma:displayName="VersionNo" ma:decimals="0" ma:description="VersionNo" ma:format="Dropdown" ma:internalName="VersionNo" ma:percentage="FALSE">
      <xsd:simpleType>
        <xsd:restriction base="dms:Number">
          <xsd:minInclusive value="1"/>
        </xsd:restriction>
      </xsd:simpleType>
    </xsd:element>
  </xsd:schema>
  <xsd:schema xmlns:xsd="http://www.w3.org/2001/XMLSchema" xmlns:xs="http://www.w3.org/2001/XMLSchema" xmlns:dms="http://schemas.microsoft.com/office/2006/documentManagement/types" xmlns:pc="http://schemas.microsoft.com/office/infopath/2007/PartnerControls" targetNamespace="4ac0b8a0-ba54-445b-b740-0151bc5fb9d7" elementFormDefault="qualified">
    <xsd:import namespace="http://schemas.microsoft.com/office/2006/documentManagement/types"/>
    <xsd:import namespace="http://schemas.microsoft.com/office/infopath/2007/PartnerControls"/>
    <xsd:element name="TaxCatchAll" ma:index="35" nillable="true" ma:displayName="Taxonomy Catch All Column" ma:hidden="true" ma:list="{e6201808-5170-4ff3-8802-9a4119680b73}" ma:internalName="TaxCatchAll" ma:showField="CatchAllData" ma:web="179c9df7-bfec-4257-afe4-54792d6740d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7D24F2A-53A7-408C-A471-47C16F8D98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c9df7-bfec-4257-afe4-54792d6740de"/>
    <ds:schemaRef ds:uri="6959f927-86e6-4409-9072-99cd7240dcc0"/>
    <ds:schemaRef ds:uri="4ac0b8a0-ba54-445b-b740-0151bc5fb9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F900F01-53D7-4CBD-A356-7E4BC4534362}"/>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CA30C1F8-91C6-481E-AD03-A4EBDC9138F1}">
  <ds:schemaRefs>
    <ds:schemaRef ds:uri="179c9df7-bfec-4257-afe4-54792d6740de"/>
    <ds:schemaRef ds:uri="http://purl.org/dc/elements/1.1/"/>
    <ds:schemaRef ds:uri="http://schemas.microsoft.com/office/2006/documentManagement/types"/>
    <ds:schemaRef ds:uri="http://purl.org/dc/dcmitype/"/>
    <ds:schemaRef ds:uri="4ac0b8a0-ba54-445b-b740-0151bc5fb9d7"/>
    <ds:schemaRef ds:uri="6959f927-86e6-4409-9072-99cd7240dcc0"/>
    <ds:schemaRef ds:uri="http://schemas.openxmlformats.org/package/2006/metadata/core-properties"/>
    <ds:schemaRef ds:uri="http://www.w3.org/XML/1998/namespace"/>
    <ds:schemaRef ds:uri="http://schemas.microsoft.com/office/infopath/2007/PartnerControls"/>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23536</Words>
  <Characters>134160</Characters>
  <Application>Microsoft Office Word</Application>
  <DocSecurity>0</DocSecurity>
  <Lines>1118</Lines>
  <Paragraphs>314</Paragraphs>
  <ScaleCrop>false</ScaleCrop>
  <Company/>
  <LinksUpToDate>false</LinksUpToDate>
  <CharactersWithSpaces>157382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2025-03-20T14:14:00Z</cp:lastPrinted>
  <dcterms:created xsi:type="dcterms:W3CDTF">2025-07-08T06:59:00Z</dcterms:created>
  <dcterms:modified xsi:type="dcterms:W3CDTF">2025-07-08T06:59:00Z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db80ff68-f0e8-4ba0-921a-068ecc0385bd</vt:lpwstr>
  </property>
</Properties>
</file>